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2EB6A6">
      <w:pPr>
        <w:pStyle w:val="12"/>
        <w:tabs>
          <w:tab w:val="left" w:pos="1661"/>
        </w:tabs>
        <w:spacing w:before="0" w:line="600" w:lineRule="exact"/>
        <w:ind w:left="0" w:firstLine="0"/>
        <w:jc w:val="both"/>
        <w:rPr>
          <w:sz w:val="32"/>
          <w:szCs w:val="32"/>
          <w:lang w:val="en-US"/>
        </w:rPr>
      </w:pPr>
      <w:r>
        <w:rPr>
          <w:rFonts w:hint="eastAsia" w:ascii="黑体" w:hAnsi="黑体" w:eastAsia="黑体" w:cs="黑体"/>
          <w:sz w:val="32"/>
          <w:szCs w:val="32"/>
        </w:rPr>
        <w:t>附件</w:t>
      </w:r>
      <w:r>
        <w:rPr>
          <w:rFonts w:hint="eastAsia" w:ascii="黑体" w:hAnsi="黑体" w:eastAsia="黑体" w:cs="黑体"/>
          <w:sz w:val="32"/>
          <w:szCs w:val="32"/>
          <w:lang w:val="en-US"/>
        </w:rPr>
        <w:t>1</w:t>
      </w:r>
    </w:p>
    <w:p w14:paraId="5A964592">
      <w:pPr>
        <w:pStyle w:val="12"/>
        <w:tabs>
          <w:tab w:val="left" w:pos="1661"/>
        </w:tabs>
        <w:spacing w:before="0" w:line="600" w:lineRule="exact"/>
        <w:ind w:left="0" w:firstLine="0"/>
        <w:jc w:val="center"/>
        <w:rPr>
          <w:rFonts w:hint="eastAsia" w:ascii="方正小标宋简体" w:hAnsi="方正小标宋简体" w:eastAsia="方正小标宋简体" w:cs="方正小标宋简体"/>
          <w:b w:val="0"/>
          <w:bCs w:val="0"/>
          <w:sz w:val="44"/>
          <w:szCs w:val="44"/>
          <w:lang w:val="en-US"/>
        </w:rPr>
      </w:pPr>
      <w:r>
        <w:rPr>
          <w:rFonts w:hint="eastAsia" w:ascii="方正小标宋简体" w:hAnsi="方正小标宋简体" w:eastAsia="方正小标宋简体" w:cs="方正小标宋简体"/>
          <w:b w:val="0"/>
          <w:bCs w:val="0"/>
          <w:sz w:val="44"/>
          <w:szCs w:val="44"/>
          <w:lang w:val="en-US"/>
        </w:rPr>
        <w:t>比选</w:t>
      </w:r>
      <w:r>
        <w:rPr>
          <w:rFonts w:hint="eastAsia" w:ascii="方正小标宋简体" w:hAnsi="方正小标宋简体" w:eastAsia="方正小标宋简体" w:cs="方正小标宋简体"/>
          <w:b/>
          <w:bCs/>
          <w:sz w:val="44"/>
          <w:szCs w:val="44"/>
          <w:lang w:val="en-US"/>
        </w:rPr>
        <w:t>须知</w:t>
      </w:r>
    </w:p>
    <w:tbl>
      <w:tblPr>
        <w:tblStyle w:val="10"/>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1977"/>
        <w:gridCol w:w="7001"/>
      </w:tblGrid>
      <w:tr w14:paraId="2F247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8" w:type="pct"/>
            <w:vAlign w:val="center"/>
          </w:tcPr>
          <w:p w14:paraId="163319DA">
            <w:pPr>
              <w:pStyle w:val="13"/>
              <w:keepNext w:val="0"/>
              <w:pageBreakBefore w:val="0"/>
              <w:kinsoku/>
              <w:wordWrap/>
              <w:overflowPunct/>
              <w:topLinePunct w:val="0"/>
              <w:autoSpaceDE w:val="0"/>
              <w:autoSpaceDN w:val="0"/>
              <w:bidi w:val="0"/>
              <w:adjustRightInd/>
              <w:snapToGrid/>
              <w:spacing w:line="34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5"/>
                <w:sz w:val="21"/>
                <w:szCs w:val="21"/>
                <w:highlight w:val="none"/>
              </w:rPr>
              <w:t>序号</w:t>
            </w:r>
          </w:p>
        </w:tc>
        <w:tc>
          <w:tcPr>
            <w:tcW w:w="1004" w:type="pct"/>
            <w:vAlign w:val="center"/>
          </w:tcPr>
          <w:p w14:paraId="531048C9">
            <w:pPr>
              <w:pStyle w:val="13"/>
              <w:keepNext w:val="0"/>
              <w:pageBreakBefore w:val="0"/>
              <w:kinsoku/>
              <w:wordWrap/>
              <w:overflowPunct/>
              <w:topLinePunct w:val="0"/>
              <w:autoSpaceDE w:val="0"/>
              <w:autoSpaceDN w:val="0"/>
              <w:bidi w:val="0"/>
              <w:adjustRightInd/>
              <w:snapToGrid/>
              <w:spacing w:line="34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5"/>
                <w:sz w:val="21"/>
                <w:szCs w:val="21"/>
                <w:highlight w:val="none"/>
              </w:rPr>
              <w:t>条</w:t>
            </w:r>
            <w:r>
              <w:rPr>
                <w:rFonts w:hint="eastAsia" w:ascii="仿宋" w:hAnsi="仿宋" w:eastAsia="仿宋" w:cs="仿宋"/>
                <w:b/>
                <w:color w:val="auto"/>
                <w:w w:val="105"/>
                <w:sz w:val="21"/>
                <w:szCs w:val="21"/>
                <w:highlight w:val="none"/>
                <w:lang w:eastAsia="zh-CN"/>
              </w:rPr>
              <w:t>　</w:t>
            </w:r>
            <w:r>
              <w:rPr>
                <w:rFonts w:hint="eastAsia" w:ascii="仿宋" w:hAnsi="仿宋" w:eastAsia="仿宋" w:cs="仿宋"/>
                <w:b/>
                <w:color w:val="auto"/>
                <w:w w:val="105"/>
                <w:sz w:val="21"/>
                <w:szCs w:val="21"/>
                <w:highlight w:val="none"/>
              </w:rPr>
              <w:t>款</w:t>
            </w:r>
          </w:p>
        </w:tc>
        <w:tc>
          <w:tcPr>
            <w:tcW w:w="3556" w:type="pct"/>
            <w:vAlign w:val="center"/>
          </w:tcPr>
          <w:p w14:paraId="33B522C4">
            <w:pPr>
              <w:pStyle w:val="13"/>
              <w:keepNext w:val="0"/>
              <w:pageBreakBefore w:val="0"/>
              <w:kinsoku/>
              <w:wordWrap/>
              <w:overflowPunct/>
              <w:topLinePunct w:val="0"/>
              <w:autoSpaceDE w:val="0"/>
              <w:autoSpaceDN w:val="0"/>
              <w:bidi w:val="0"/>
              <w:adjustRightInd/>
              <w:snapToGrid/>
              <w:spacing w:line="34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5"/>
                <w:sz w:val="21"/>
                <w:szCs w:val="21"/>
                <w:highlight w:val="none"/>
              </w:rPr>
              <w:t>内容规定</w:t>
            </w:r>
          </w:p>
        </w:tc>
      </w:tr>
      <w:tr w14:paraId="5FB66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38" w:type="pct"/>
            <w:vAlign w:val="center"/>
          </w:tcPr>
          <w:p w14:paraId="541346A1">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sz w:val="21"/>
                <w:szCs w:val="21"/>
                <w:highlight w:val="none"/>
                <w:lang w:val="en-US"/>
              </w:rPr>
              <w:t>1</w:t>
            </w:r>
          </w:p>
        </w:tc>
        <w:tc>
          <w:tcPr>
            <w:tcW w:w="1004" w:type="pct"/>
            <w:vAlign w:val="center"/>
          </w:tcPr>
          <w:p w14:paraId="140032F3">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5"/>
                <w:sz w:val="21"/>
                <w:szCs w:val="21"/>
                <w:highlight w:val="none"/>
              </w:rPr>
              <w:t>项目情况</w:t>
            </w:r>
          </w:p>
        </w:tc>
        <w:tc>
          <w:tcPr>
            <w:tcW w:w="3556" w:type="pct"/>
            <w:vAlign w:val="center"/>
          </w:tcPr>
          <w:p w14:paraId="7A268ED7">
            <w:pPr>
              <w:pStyle w:val="13"/>
              <w:keepNext w:val="0"/>
              <w:pageBreakBefore w:val="0"/>
              <w:kinsoku/>
              <w:wordWrap/>
              <w:overflowPunct/>
              <w:topLinePunct w:val="0"/>
              <w:autoSpaceDE w:val="0"/>
              <w:autoSpaceDN w:val="0"/>
              <w:bidi w:val="0"/>
              <w:adjustRightInd/>
              <w:snapToGrid/>
              <w:spacing w:line="320" w:lineRule="exact"/>
              <w:ind w:left="0" w:leftChars="0"/>
              <w:jc w:val="both"/>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b/>
                <w:color w:val="auto"/>
                <w:sz w:val="21"/>
                <w:szCs w:val="21"/>
                <w:highlight w:val="none"/>
              </w:rPr>
              <w:t>项目名称：</w:t>
            </w:r>
            <w:r>
              <w:rPr>
                <w:rFonts w:hint="eastAsia" w:ascii="仿宋" w:hAnsi="仿宋" w:eastAsia="仿宋" w:cs="仿宋"/>
                <w:b w:val="0"/>
                <w:bCs/>
                <w:color w:val="auto"/>
                <w:sz w:val="21"/>
                <w:szCs w:val="21"/>
                <w:highlight w:val="none"/>
                <w:lang w:val="en-US" w:eastAsia="zh-CN"/>
              </w:rPr>
              <w:t>四川省佳宇建设集团有限公司重整</w:t>
            </w:r>
            <w:r>
              <w:rPr>
                <w:rFonts w:hint="eastAsia" w:ascii="仿宋" w:hAnsi="仿宋" w:eastAsia="仿宋" w:cs="仿宋"/>
                <w:color w:val="auto"/>
                <w:sz w:val="21"/>
                <w:szCs w:val="21"/>
                <w:highlight w:val="none"/>
              </w:rPr>
              <w:t>案</w:t>
            </w:r>
            <w:r>
              <w:rPr>
                <w:rFonts w:hint="eastAsia" w:ascii="仿宋" w:hAnsi="仿宋" w:eastAsia="仿宋" w:cs="仿宋"/>
                <w:color w:val="auto"/>
                <w:sz w:val="21"/>
                <w:szCs w:val="21"/>
                <w:highlight w:val="none"/>
                <w:lang w:val="en-US" w:eastAsia="zh-CN"/>
              </w:rPr>
              <w:t>审计机构比选项目</w:t>
            </w:r>
          </w:p>
          <w:p w14:paraId="00DE8196">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ascii="仿宋" w:hAnsi="仿宋" w:eastAsia="仿宋" w:cs="仿宋"/>
                <w:b/>
                <w:bCs/>
                <w:color w:val="auto"/>
                <w:sz w:val="21"/>
                <w:szCs w:val="21"/>
                <w:highlight w:val="none"/>
                <w:lang w:val="en-US" w:eastAsia="zh-CN"/>
              </w:rPr>
            </w:pPr>
            <w:r>
              <w:rPr>
                <w:rFonts w:hint="eastAsia" w:ascii="仿宋" w:hAnsi="仿宋" w:eastAsia="仿宋" w:cs="仿宋"/>
                <w:b/>
                <w:color w:val="auto"/>
                <w:sz w:val="21"/>
                <w:szCs w:val="21"/>
                <w:highlight w:val="none"/>
                <w:lang w:val="en-US" w:eastAsia="zh-CN"/>
              </w:rPr>
              <w:t>服务</w:t>
            </w:r>
            <w:r>
              <w:rPr>
                <w:rFonts w:hint="eastAsia" w:ascii="仿宋" w:hAnsi="仿宋" w:eastAsia="仿宋" w:cs="仿宋"/>
                <w:b/>
                <w:color w:val="auto"/>
                <w:sz w:val="21"/>
                <w:szCs w:val="21"/>
                <w:highlight w:val="none"/>
              </w:rPr>
              <w:t>地点：</w:t>
            </w:r>
            <w:r>
              <w:rPr>
                <w:rFonts w:hint="eastAsia" w:ascii="仿宋" w:hAnsi="仿宋" w:eastAsia="仿宋" w:cs="仿宋"/>
                <w:b w:val="0"/>
                <w:bCs/>
                <w:color w:val="auto"/>
                <w:sz w:val="21"/>
                <w:szCs w:val="21"/>
                <w:highlight w:val="none"/>
                <w:lang w:val="en-US" w:eastAsia="zh-CN"/>
              </w:rPr>
              <w:t>成都市</w:t>
            </w:r>
          </w:p>
        </w:tc>
      </w:tr>
      <w:tr w14:paraId="437CB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38" w:type="pct"/>
            <w:vAlign w:val="center"/>
          </w:tcPr>
          <w:p w14:paraId="737815FF">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2"/>
                <w:sz w:val="21"/>
                <w:szCs w:val="21"/>
                <w:highlight w:val="none"/>
              </w:rPr>
              <w:t>2</w:t>
            </w:r>
          </w:p>
        </w:tc>
        <w:tc>
          <w:tcPr>
            <w:tcW w:w="1004" w:type="pct"/>
            <w:vAlign w:val="center"/>
          </w:tcPr>
          <w:p w14:paraId="7162A231">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sz w:val="21"/>
                <w:szCs w:val="21"/>
                <w:highlight w:val="none"/>
                <w:lang w:eastAsia="zh-CN"/>
              </w:rPr>
              <w:t>审计</w:t>
            </w:r>
            <w:r>
              <w:rPr>
                <w:rFonts w:hint="eastAsia" w:ascii="仿宋" w:hAnsi="仿宋" w:eastAsia="仿宋" w:cs="仿宋"/>
                <w:b/>
                <w:color w:val="auto"/>
                <w:sz w:val="21"/>
                <w:szCs w:val="21"/>
                <w:highlight w:val="none"/>
              </w:rPr>
              <w:t>机构服务范围及内</w:t>
            </w:r>
            <w:r>
              <w:rPr>
                <w:rFonts w:hint="eastAsia" w:ascii="仿宋" w:hAnsi="仿宋" w:eastAsia="仿宋" w:cs="仿宋"/>
                <w:b/>
                <w:color w:val="auto"/>
                <w:w w:val="105"/>
                <w:sz w:val="21"/>
                <w:szCs w:val="21"/>
                <w:highlight w:val="none"/>
              </w:rPr>
              <w:t>容</w:t>
            </w:r>
          </w:p>
        </w:tc>
        <w:tc>
          <w:tcPr>
            <w:tcW w:w="3556" w:type="pct"/>
            <w:vAlign w:val="center"/>
          </w:tcPr>
          <w:p w14:paraId="5AD45D30">
            <w:pPr>
              <w:keepNext w:val="0"/>
              <w:keepLines w:val="0"/>
              <w:pageBreakBefore w:val="0"/>
              <w:widowControl w:val="0"/>
              <w:kinsoku/>
              <w:overflowPunct/>
              <w:topLinePunct w:val="0"/>
              <w:autoSpaceDE/>
              <w:autoSpaceDN/>
              <w:bidi w:val="0"/>
              <w:adjustRightInd/>
              <w:snapToGrid/>
              <w:spacing w:line="360" w:lineRule="auto"/>
              <w:jc w:val="both"/>
              <w:textAlignment w:val="auto"/>
              <w:rPr>
                <w:rFonts w:hint="eastAsia" w:ascii="仿宋" w:hAnsi="仿宋" w:eastAsia="仿宋" w:cs="仿宋"/>
                <w:color w:val="auto"/>
                <w:sz w:val="21"/>
                <w:szCs w:val="21"/>
                <w:lang w:val="en-US" w:eastAsia="zh-CN"/>
              </w:rPr>
            </w:pPr>
            <w:bookmarkStart w:id="0" w:name="heading_7"/>
            <w:r>
              <w:rPr>
                <w:rFonts w:hint="eastAsia" w:ascii="仿宋" w:hAnsi="仿宋" w:eastAsia="仿宋" w:cs="仿宋"/>
                <w:color w:val="auto"/>
                <w:sz w:val="21"/>
                <w:szCs w:val="21"/>
                <w:lang w:val="en-US" w:eastAsia="zh-CN"/>
              </w:rPr>
              <w:t>（一）公司财务状况审计</w:t>
            </w:r>
            <w:bookmarkEnd w:id="0"/>
          </w:p>
          <w:p w14:paraId="0620EC60">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1、全面审查佳宇集团资产、负债、所有者权益情况，核实资产真实性、合法性及权属完整性，包括但不限于流动资产、固定资产、无形资产、对外投资、应收账款、应付账款等，编制资产负债清查表。</w:t>
            </w:r>
          </w:p>
          <w:p w14:paraId="7A54A988">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2、审查佳宇集团注册资本实缴情况，结合财务资料及资金流水，核查是否存在虚假出资、出资不全、抽逃出资等情形，就股东出资到位情况发表独立审计意见。</w:t>
            </w:r>
            <w:bookmarkStart w:id="3" w:name="_GoBack"/>
            <w:bookmarkEnd w:id="3"/>
          </w:p>
          <w:p w14:paraId="73ABD317">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3、梳理佳宇集团自成立以来的财务账册、会计凭证、财务报表等资料，核查财务核算是否符合会计准则及相关法律法规要求，对不规范账目进行调整说明，补全缺失财务资料的清查记录。</w:t>
            </w:r>
          </w:p>
          <w:p w14:paraId="3F88A0DD">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4、组织开展资产盘点工作，核实存货、固定资产等实物资产的实际占有、使用状态，处理资产盘盈、盘亏、报废及呆账、坏账核销事宜。</w:t>
            </w:r>
          </w:p>
          <w:p w14:paraId="0E357E32">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5、审计佳宇集团与股东、实际控制人、关联企业之间的大额资金往来、关联交易情况，核查交易真实性、定价公允性，是否存在利益输送、转移资产等损害债权人利益的行为。</w:t>
            </w:r>
          </w:p>
          <w:p w14:paraId="01D759BD">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6、审计裁定受理破产清算日前1年内，佳宇集团是否存在《中华人民共和国企业破产法》第三十一条规定的行为，包括无偿转让财产、以明显不合理价格交易、对无财产担保债务提供担保、提前清偿未到期债务、放弃债权等。</w:t>
            </w:r>
          </w:p>
          <w:p w14:paraId="7AB60C55">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7、审计裁定受理破产清算日前6个月内，佳宇集团是否存在《中华人民共和国企业破产法》第三十二条规定的个别清偿行为，核查个别清偿的真实性、合法性及是否具备撤销条件。</w:t>
            </w:r>
          </w:p>
          <w:p w14:paraId="640928E4">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8、审查佳宇集团董事、监事、高级管理人员以及重点人员在履职过程中是否存在利用职权获取非正常收入、侵占企业财产的行为，是否存在与债务人、债权人的不当交易行为。</w:t>
            </w:r>
          </w:p>
          <w:p w14:paraId="0FB336DC">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9、核查佳宇集团对外担保情况，包括为关联企业及第三方提供担保的真实性、合法性，担保责任范围及后续影响。</w:t>
            </w:r>
          </w:p>
          <w:p w14:paraId="76BDFFF2">
            <w:pPr>
              <w:keepNext w:val="0"/>
              <w:keepLines w:val="0"/>
              <w:pageBreakBefore w:val="0"/>
              <w:widowControl w:val="0"/>
              <w:kinsoku/>
              <w:overflowPunct/>
              <w:topLinePunct w:val="0"/>
              <w:autoSpaceDE/>
              <w:autoSpaceDN/>
              <w:bidi w:val="0"/>
              <w:adjustRightInd/>
              <w:snapToGrid/>
              <w:spacing w:line="360" w:lineRule="auto"/>
              <w:jc w:val="both"/>
              <w:textAlignment w:val="auto"/>
              <w:rPr>
                <w:rFonts w:hint="eastAsia" w:ascii="仿宋" w:hAnsi="仿宋" w:eastAsia="仿宋" w:cs="仿宋"/>
                <w:color w:val="auto"/>
                <w:sz w:val="21"/>
                <w:szCs w:val="21"/>
                <w:lang w:val="en-US" w:eastAsia="zh-CN"/>
              </w:rPr>
            </w:pPr>
            <w:bookmarkStart w:id="1" w:name="heading_9"/>
            <w:r>
              <w:rPr>
                <w:rFonts w:hint="eastAsia" w:ascii="仿宋" w:hAnsi="仿宋" w:eastAsia="仿宋" w:cs="仿宋"/>
                <w:color w:val="auto"/>
                <w:sz w:val="21"/>
                <w:szCs w:val="21"/>
                <w:lang w:val="en-US" w:eastAsia="zh-CN"/>
              </w:rPr>
              <w:t>（二）重点项目专项审计</w:t>
            </w:r>
            <w:bookmarkEnd w:id="1"/>
          </w:p>
          <w:p w14:paraId="4668B43A">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1、协助管理人审核债权申报材料，对申报债权的真实性、合法性、准确性进行核查，</w:t>
            </w:r>
            <w:r>
              <w:rPr>
                <w:rFonts w:hint="eastAsia" w:ascii="仿宋" w:hAnsi="仿宋" w:eastAsia="仿宋" w:cs="仿宋"/>
                <w:color w:val="auto"/>
                <w:kern w:val="2"/>
                <w:sz w:val="21"/>
                <w:szCs w:val="21"/>
                <w:lang w:val="en-US" w:eastAsia="zh-CN" w:bidi="ar-SA"/>
              </w:rPr>
              <w:t>对涉及工程款、民间借贷、担保债务、民工工资等复杂债权提供专业意见</w:t>
            </w:r>
            <w:r>
              <w:rPr>
                <w:rFonts w:hint="eastAsia" w:ascii="仿宋" w:hAnsi="仿宋" w:eastAsia="仿宋" w:cs="仿宋"/>
                <w:color w:val="auto"/>
                <w:sz w:val="21"/>
                <w:szCs w:val="21"/>
                <w:lang w:val="en-US" w:eastAsia="zh-CN"/>
              </w:rPr>
              <w:t>，配合编制债权债务清册。</w:t>
            </w:r>
          </w:p>
          <w:p w14:paraId="7828A5F8">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2、针对重点项目的工程款收入、支付、合同签订、结算等项目全面情况，进行专项审计，并出具项目专项审计报告。</w:t>
            </w:r>
          </w:p>
          <w:p w14:paraId="7DB6122F">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sz w:val="21"/>
                <w:szCs w:val="21"/>
                <w:lang w:val="en-US" w:eastAsia="zh-CN"/>
              </w:rPr>
            </w:pPr>
            <w:r>
              <w:rPr>
                <w:rFonts w:hint="eastAsia" w:ascii="仿宋" w:hAnsi="仿宋" w:eastAsia="仿宋" w:cs="仿宋"/>
                <w:color w:val="auto"/>
                <w:sz w:val="21"/>
                <w:szCs w:val="21"/>
                <w:lang w:val="en-US" w:eastAsia="zh-CN"/>
              </w:rPr>
              <w:t>3、针对重点项目的收支情况分析是否存在挪用款项、虚报工程量、虚报农民工工资或其他不正当行为。</w:t>
            </w:r>
          </w:p>
          <w:p w14:paraId="64FB007C">
            <w:pPr>
              <w:keepNext w:val="0"/>
              <w:keepLines w:val="0"/>
              <w:pageBreakBefore w:val="0"/>
              <w:widowControl w:val="0"/>
              <w:kinsoku/>
              <w:overflowPunct/>
              <w:topLinePunct w:val="0"/>
              <w:autoSpaceDE/>
              <w:autoSpaceDN/>
              <w:bidi w:val="0"/>
              <w:adjustRightInd/>
              <w:snapToGrid/>
              <w:spacing w:line="360" w:lineRule="auto"/>
              <w:jc w:val="both"/>
              <w:textAlignment w:val="auto"/>
              <w:rPr>
                <w:rFonts w:hint="eastAsia" w:ascii="仿宋" w:hAnsi="仿宋" w:eastAsia="仿宋" w:cs="仿宋"/>
                <w:color w:val="auto"/>
                <w:sz w:val="21"/>
                <w:szCs w:val="21"/>
                <w:lang w:val="en-US" w:eastAsia="zh-CN"/>
              </w:rPr>
            </w:pPr>
            <w:bookmarkStart w:id="2" w:name="heading_10"/>
            <w:r>
              <w:rPr>
                <w:rFonts w:hint="eastAsia" w:ascii="仿宋" w:hAnsi="仿宋" w:eastAsia="仿宋" w:cs="仿宋"/>
                <w:color w:val="auto"/>
                <w:sz w:val="21"/>
                <w:szCs w:val="21"/>
                <w:lang w:val="en-US" w:eastAsia="zh-CN"/>
              </w:rPr>
              <w:t>（三）其他服务事项</w:t>
            </w:r>
            <w:bookmarkEnd w:id="2"/>
          </w:p>
          <w:p w14:paraId="74396CFB">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1、按管理人要求列席债权人会议，就审计报告内容、审计发现的重大问题进行解释说明。</w:t>
            </w:r>
          </w:p>
          <w:p w14:paraId="22406B44">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2、配合资产评估机构开展工作，提供必要的财务数据及审计资料，协助完成资产价值测算。</w:t>
            </w:r>
          </w:p>
          <w:p w14:paraId="429DA615">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3、根据法院及管理人要求，就专项问题出具补充审计报告或专项说明，配合重整程序中的其他财务核查工作。</w:t>
            </w:r>
          </w:p>
          <w:p w14:paraId="417D087F">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lang w:val="en-US" w:eastAsia="zh-CN"/>
              </w:rPr>
              <w:t>4、审计工作完成后，整理全部审计工作底稿、资料，归档移交管理人。</w:t>
            </w:r>
          </w:p>
        </w:tc>
      </w:tr>
      <w:tr w14:paraId="4D321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438" w:type="pct"/>
            <w:vAlign w:val="center"/>
          </w:tcPr>
          <w:p w14:paraId="18AE4EE2">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2"/>
                <w:sz w:val="21"/>
                <w:szCs w:val="21"/>
                <w:highlight w:val="none"/>
              </w:rPr>
              <w:t>3</w:t>
            </w:r>
          </w:p>
        </w:tc>
        <w:tc>
          <w:tcPr>
            <w:tcW w:w="1004" w:type="pct"/>
            <w:vAlign w:val="center"/>
          </w:tcPr>
          <w:p w14:paraId="155D65EA">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5"/>
                <w:sz w:val="21"/>
                <w:szCs w:val="21"/>
                <w:highlight w:val="none"/>
              </w:rPr>
              <w:t>比选保证金</w:t>
            </w:r>
          </w:p>
        </w:tc>
        <w:tc>
          <w:tcPr>
            <w:tcW w:w="3556" w:type="pct"/>
            <w:vAlign w:val="center"/>
          </w:tcPr>
          <w:p w14:paraId="4D8DD625">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ascii="仿宋" w:hAnsi="仿宋" w:eastAsia="仿宋" w:cs="仿宋"/>
                <w:b/>
                <w:bCs/>
                <w:color w:val="auto"/>
                <w:sz w:val="21"/>
                <w:szCs w:val="21"/>
                <w:highlight w:val="none"/>
                <w:lang w:val="en-US" w:eastAsia="zh-CN"/>
              </w:rPr>
            </w:pPr>
            <w:r>
              <w:rPr>
                <w:rFonts w:hint="eastAsia" w:ascii="仿宋" w:hAnsi="仿宋" w:eastAsia="仿宋" w:cs="仿宋"/>
                <w:color w:val="auto"/>
                <w:w w:val="99"/>
                <w:sz w:val="21"/>
                <w:szCs w:val="21"/>
                <w:highlight w:val="none"/>
              </w:rPr>
              <w:t>无</w:t>
            </w:r>
            <w:r>
              <w:rPr>
                <w:rFonts w:hint="eastAsia" w:ascii="仿宋" w:hAnsi="仿宋" w:eastAsia="仿宋" w:cs="仿宋"/>
                <w:color w:val="auto"/>
                <w:w w:val="99"/>
                <w:sz w:val="21"/>
                <w:szCs w:val="21"/>
                <w:highlight w:val="none"/>
                <w:lang w:eastAsia="zh-CN"/>
              </w:rPr>
              <w:t>。</w:t>
            </w:r>
          </w:p>
        </w:tc>
      </w:tr>
      <w:tr w14:paraId="26C9A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38" w:type="pct"/>
            <w:vAlign w:val="center"/>
          </w:tcPr>
          <w:p w14:paraId="41A9E3FD">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2"/>
                <w:sz w:val="21"/>
                <w:szCs w:val="21"/>
                <w:highlight w:val="none"/>
              </w:rPr>
              <w:t>4</w:t>
            </w:r>
          </w:p>
        </w:tc>
        <w:tc>
          <w:tcPr>
            <w:tcW w:w="1004" w:type="pct"/>
            <w:vAlign w:val="center"/>
          </w:tcPr>
          <w:p w14:paraId="6A4FF0F2">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eastAsia="zh-CN"/>
              </w:rPr>
            </w:pPr>
            <w:r>
              <w:rPr>
                <w:rFonts w:hint="eastAsia" w:ascii="仿宋" w:hAnsi="仿宋" w:eastAsia="仿宋" w:cs="仿宋"/>
                <w:b/>
                <w:color w:val="auto"/>
                <w:w w:val="105"/>
                <w:sz w:val="21"/>
                <w:szCs w:val="21"/>
                <w:highlight w:val="none"/>
                <w:lang w:val="en-US" w:eastAsia="zh-CN"/>
              </w:rPr>
              <w:t>报价要求</w:t>
            </w:r>
          </w:p>
        </w:tc>
        <w:tc>
          <w:tcPr>
            <w:tcW w:w="3556" w:type="pct"/>
            <w:vAlign w:val="center"/>
          </w:tcPr>
          <w:p w14:paraId="51293FB8">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（一）审计服务费用为一次性包干费用（含税价），包含审计过程中产生的差旅费、文印费、交通费等全部费用，无预付款。费用来源为佳宇集团资产处置回款，作为破产费用优先受偿。</w:t>
            </w:r>
          </w:p>
          <w:p w14:paraId="78C507DE">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（二）截止本公告发布之日，初步对佳宇集团和8个重点项目开展审计。但因破产程序进展需要调整审计范围、补充审计内容，或因审计报告过期需重新出具报告的，中选机构不得额外增加费用。</w:t>
            </w:r>
          </w:p>
          <w:p w14:paraId="080CACF9">
            <w:pPr>
              <w:keepNext w:val="0"/>
              <w:keepLines w:val="0"/>
              <w:pageBreakBefore w:val="0"/>
              <w:widowControl w:val="0"/>
              <w:kinsoku/>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（三）若中选机构未按规定时间完成审计工作、出具的审计报告存在错误或漏项，或未履行服务承诺的，管理人有权相应调减服务费用，情节严重的有权解除服务合同并追究违约责任。</w:t>
            </w:r>
          </w:p>
          <w:p w14:paraId="0196DB05">
            <w:pPr>
              <w:pStyle w:val="2"/>
              <w:ind w:left="0" w:leftChars="0" w:firstLine="0" w:firstLineChars="0"/>
              <w:jc w:val="both"/>
              <w:rPr>
                <w:rFonts w:hint="eastAsia" w:ascii="仿宋" w:hAnsi="仿宋" w:eastAsia="仿宋" w:cs="仿宋"/>
                <w:b/>
                <w:bCs/>
                <w:color w:val="auto"/>
                <w:sz w:val="21"/>
                <w:szCs w:val="21"/>
                <w:u w:val="single"/>
                <w:lang w:val="en-US" w:eastAsia="zh-CN"/>
              </w:rPr>
            </w:pPr>
            <w:r>
              <w:rPr>
                <w:rFonts w:hint="eastAsia" w:ascii="仿宋" w:hAnsi="仿宋" w:eastAsia="仿宋" w:cs="仿宋"/>
                <w:b/>
                <w:bCs/>
                <w:color w:val="auto"/>
                <w:sz w:val="21"/>
                <w:szCs w:val="21"/>
                <w:lang w:val="en-US" w:eastAsia="zh-CN"/>
              </w:rPr>
              <w:t xml:space="preserve"> </w:t>
            </w:r>
            <w:r>
              <w:rPr>
                <w:rFonts w:hint="eastAsia" w:cs="仿宋"/>
                <w:b/>
                <w:bCs/>
                <w:color w:val="auto"/>
                <w:sz w:val="21"/>
                <w:szCs w:val="21"/>
                <w:lang w:val="en-US" w:eastAsia="zh-CN"/>
              </w:rPr>
              <w:t xml:space="preserve">  </w:t>
            </w:r>
            <w:r>
              <w:rPr>
                <w:rFonts w:hint="eastAsia" w:ascii="仿宋" w:hAnsi="仿宋" w:eastAsia="仿宋" w:cs="仿宋"/>
                <w:b/>
                <w:bCs/>
                <w:color w:val="auto"/>
                <w:sz w:val="21"/>
                <w:szCs w:val="21"/>
                <w:u w:val="single"/>
                <w:lang w:val="en-US" w:eastAsia="zh-CN"/>
              </w:rPr>
              <w:t>（四）债权人委员会有权推荐2-3名财务审计专业人员，全程参与本次审计工作，所产生的人员费用从中选的审计费用中列支。具体人员及费用，由债权人委员会与中选的审计机构协商确定。报名参选的审计机构视为已明确知晓并同意此项情况。</w:t>
            </w:r>
          </w:p>
          <w:p w14:paraId="2FB2FFA4">
            <w:pPr>
              <w:pStyle w:val="2"/>
              <w:ind w:left="0" w:leftChars="0" w:firstLine="421" w:firstLineChars="0"/>
              <w:jc w:val="both"/>
              <w:rPr>
                <w:rFonts w:hint="default" w:ascii="仿宋" w:hAnsi="仿宋" w:eastAsia="仿宋" w:cs="仿宋"/>
                <w:b/>
                <w:bCs/>
                <w:color w:val="auto"/>
                <w:sz w:val="21"/>
                <w:szCs w:val="21"/>
                <w:u w:val="single"/>
                <w:lang w:val="en-US" w:eastAsia="zh-CN"/>
              </w:rPr>
            </w:pPr>
            <w:r>
              <w:rPr>
                <w:rFonts w:hint="eastAsia" w:cs="仿宋"/>
                <w:b/>
                <w:bCs/>
                <w:color w:val="auto"/>
                <w:sz w:val="21"/>
                <w:szCs w:val="21"/>
                <w:u w:val="single"/>
                <w:lang w:val="en-US" w:eastAsia="zh-CN"/>
              </w:rPr>
              <w:t>（五）本项目综合报价分为基本费+效益费，基本费在80万元（大写：捌拾万元整）以内报价；效益费包括两部分：1、发现涉嫌刑事犯罪并成功刑事立案，每成功立案一起奖励效益费10万元（若一个项目分批次立案且属于同一性质刑事犯罪的，按立案一起计算效益费）；2、发现挪用资金、虚报债权、抽逃出资、超付款项等问题，并成功追回经济损失的，按追回经济损失的5%计取效益费。</w:t>
            </w:r>
          </w:p>
        </w:tc>
      </w:tr>
      <w:tr w14:paraId="55B4A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38" w:type="pct"/>
            <w:vAlign w:val="center"/>
          </w:tcPr>
          <w:p w14:paraId="0C4AA4E7">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2"/>
                <w:sz w:val="21"/>
                <w:szCs w:val="21"/>
                <w:highlight w:val="none"/>
              </w:rPr>
              <w:t>5</w:t>
            </w:r>
          </w:p>
        </w:tc>
        <w:tc>
          <w:tcPr>
            <w:tcW w:w="1004" w:type="pct"/>
            <w:vAlign w:val="center"/>
          </w:tcPr>
          <w:p w14:paraId="18AB50DE">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5"/>
                <w:sz w:val="21"/>
                <w:szCs w:val="21"/>
                <w:highlight w:val="none"/>
              </w:rPr>
              <w:t>比选答疑</w:t>
            </w:r>
          </w:p>
        </w:tc>
        <w:tc>
          <w:tcPr>
            <w:tcW w:w="3556" w:type="pct"/>
            <w:vAlign w:val="center"/>
          </w:tcPr>
          <w:p w14:paraId="433CD94D">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color w:val="auto"/>
                <w:sz w:val="21"/>
                <w:szCs w:val="21"/>
                <w:highlight w:val="none"/>
              </w:rPr>
              <w:t>参选人应在比选截止日前</w:t>
            </w:r>
            <w:r>
              <w:rPr>
                <w:rFonts w:hint="eastAsia" w:ascii="仿宋" w:hAnsi="仿宋" w:eastAsia="仿宋" w:cs="仿宋"/>
                <w:color w:val="auto"/>
                <w:sz w:val="21"/>
                <w:szCs w:val="21"/>
                <w:highlight w:val="none"/>
                <w:lang w:val="en-US"/>
              </w:rPr>
              <w:t>2日内</w:t>
            </w:r>
            <w:r>
              <w:rPr>
                <w:rFonts w:hint="eastAsia" w:ascii="仿宋" w:hAnsi="仿宋" w:eastAsia="仿宋" w:cs="仿宋"/>
                <w:color w:val="auto"/>
                <w:sz w:val="21"/>
                <w:szCs w:val="21"/>
                <w:highlight w:val="none"/>
              </w:rPr>
              <w:t>，以邮件（须加盖公章</w:t>
            </w:r>
            <w:r>
              <w:rPr>
                <w:rFonts w:hint="eastAsia" w:ascii="仿宋" w:hAnsi="仿宋" w:eastAsia="仿宋" w:cs="仿宋"/>
                <w:color w:val="auto"/>
                <w:spacing w:val="-75"/>
                <w:sz w:val="21"/>
                <w:szCs w:val="21"/>
                <w:highlight w:val="none"/>
              </w:rPr>
              <w:t>）</w:t>
            </w:r>
            <w:r>
              <w:rPr>
                <w:rFonts w:hint="eastAsia" w:ascii="仿宋" w:hAnsi="仿宋" w:eastAsia="仿宋" w:cs="仿宋"/>
                <w:color w:val="auto"/>
                <w:sz w:val="21"/>
                <w:szCs w:val="21"/>
                <w:highlight w:val="none"/>
              </w:rPr>
              <w:t>向比选人提出需要答疑的问题。</w:t>
            </w:r>
          </w:p>
        </w:tc>
      </w:tr>
      <w:tr w14:paraId="2B16F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438" w:type="pct"/>
            <w:vAlign w:val="center"/>
          </w:tcPr>
          <w:p w14:paraId="613B3DC6">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2"/>
                <w:sz w:val="21"/>
                <w:szCs w:val="21"/>
                <w:highlight w:val="none"/>
              </w:rPr>
              <w:t>6</w:t>
            </w:r>
          </w:p>
        </w:tc>
        <w:tc>
          <w:tcPr>
            <w:tcW w:w="1004" w:type="pct"/>
            <w:vAlign w:val="center"/>
          </w:tcPr>
          <w:p w14:paraId="74FFA06F">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5"/>
                <w:sz w:val="21"/>
                <w:szCs w:val="21"/>
                <w:highlight w:val="none"/>
              </w:rPr>
              <w:t>比选有效期</w:t>
            </w:r>
          </w:p>
        </w:tc>
        <w:tc>
          <w:tcPr>
            <w:tcW w:w="3556" w:type="pct"/>
            <w:vAlign w:val="center"/>
          </w:tcPr>
          <w:p w14:paraId="6BEBEDBA">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color w:val="auto"/>
                <w:sz w:val="21"/>
                <w:szCs w:val="21"/>
                <w:highlight w:val="none"/>
              </w:rPr>
              <w:t>比选申请文件递交后60日</w:t>
            </w:r>
          </w:p>
        </w:tc>
      </w:tr>
      <w:tr w14:paraId="473CD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38" w:type="pct"/>
            <w:vAlign w:val="center"/>
          </w:tcPr>
          <w:p w14:paraId="44BC9BBC">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2"/>
                <w:sz w:val="21"/>
                <w:szCs w:val="21"/>
                <w:highlight w:val="none"/>
              </w:rPr>
              <w:t>7</w:t>
            </w:r>
          </w:p>
        </w:tc>
        <w:tc>
          <w:tcPr>
            <w:tcW w:w="1004" w:type="pct"/>
            <w:vAlign w:val="center"/>
          </w:tcPr>
          <w:p w14:paraId="693C0BAB">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color w:val="auto"/>
                <w:w w:val="105"/>
                <w:sz w:val="21"/>
                <w:szCs w:val="21"/>
                <w:highlight w:val="none"/>
              </w:rPr>
            </w:pPr>
            <w:r>
              <w:rPr>
                <w:rFonts w:hint="eastAsia" w:ascii="仿宋" w:hAnsi="仿宋" w:eastAsia="仿宋" w:cs="仿宋"/>
                <w:b/>
                <w:color w:val="auto"/>
                <w:w w:val="105"/>
                <w:sz w:val="21"/>
                <w:szCs w:val="21"/>
                <w:highlight w:val="none"/>
              </w:rPr>
              <w:t>比选申请文件</w:t>
            </w:r>
          </w:p>
          <w:p w14:paraId="1334C37E">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5"/>
                <w:sz w:val="21"/>
                <w:szCs w:val="21"/>
                <w:highlight w:val="none"/>
              </w:rPr>
              <w:t>份数</w:t>
            </w:r>
          </w:p>
        </w:tc>
        <w:tc>
          <w:tcPr>
            <w:tcW w:w="3556" w:type="pct"/>
            <w:vAlign w:val="center"/>
          </w:tcPr>
          <w:p w14:paraId="676569CE">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ascii="仿宋" w:hAnsi="仿宋" w:eastAsia="仿宋" w:cs="仿宋"/>
                <w:b w:val="0"/>
                <w:bCs w:val="0"/>
                <w:color w:val="auto"/>
                <w:sz w:val="21"/>
                <w:szCs w:val="21"/>
                <w:highlight w:val="none"/>
                <w:lang w:val="en-US"/>
              </w:rPr>
            </w:pPr>
            <w:r>
              <w:rPr>
                <w:rFonts w:hint="eastAsia" w:ascii="仿宋" w:hAnsi="仿宋" w:eastAsia="仿宋" w:cs="仿宋"/>
                <w:color w:val="auto"/>
                <w:sz w:val="21"/>
                <w:szCs w:val="21"/>
                <w:highlight w:val="none"/>
                <w:lang w:val="en-US"/>
              </w:rPr>
              <w:t>一式三份，正本一份，副本一份，电子文档一份</w:t>
            </w:r>
          </w:p>
        </w:tc>
      </w:tr>
      <w:tr w14:paraId="786D8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38" w:type="pct"/>
            <w:vAlign w:val="center"/>
          </w:tcPr>
          <w:p w14:paraId="462B8D7D">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w w:val="102"/>
                <w:sz w:val="21"/>
                <w:szCs w:val="21"/>
                <w:highlight w:val="none"/>
              </w:rPr>
              <w:t>8</w:t>
            </w:r>
          </w:p>
        </w:tc>
        <w:tc>
          <w:tcPr>
            <w:tcW w:w="1004" w:type="pct"/>
            <w:vAlign w:val="center"/>
          </w:tcPr>
          <w:p w14:paraId="25DB3A8E">
            <w:pPr>
              <w:pStyle w:val="13"/>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b/>
                <w:color w:val="auto"/>
                <w:sz w:val="21"/>
                <w:szCs w:val="21"/>
                <w:highlight w:val="none"/>
              </w:rPr>
              <w:t>比选申请文件递交时间及地点</w:t>
            </w:r>
          </w:p>
        </w:tc>
        <w:tc>
          <w:tcPr>
            <w:tcW w:w="3556" w:type="pct"/>
            <w:vAlign w:val="center"/>
          </w:tcPr>
          <w:p w14:paraId="49135466">
            <w:pPr>
              <w:pStyle w:val="13"/>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ascii="仿宋" w:hAnsi="仿宋" w:eastAsia="仿宋" w:cs="仿宋"/>
                <w:b/>
                <w:bCs/>
                <w:color w:val="auto"/>
                <w:sz w:val="21"/>
                <w:szCs w:val="21"/>
                <w:highlight w:val="none"/>
                <w:lang w:val="en-US"/>
              </w:rPr>
            </w:pPr>
            <w:r>
              <w:rPr>
                <w:rFonts w:hint="eastAsia" w:ascii="仿宋" w:hAnsi="仿宋" w:eastAsia="仿宋" w:cs="仿宋"/>
                <w:color w:val="auto"/>
                <w:sz w:val="21"/>
                <w:szCs w:val="21"/>
                <w:highlight w:val="none"/>
              </w:rPr>
              <w:t>见比选公告</w:t>
            </w:r>
          </w:p>
        </w:tc>
      </w:tr>
      <w:tr w14:paraId="4835B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38" w:type="pct"/>
            <w:vAlign w:val="center"/>
          </w:tcPr>
          <w:p w14:paraId="10CD25A1">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9</w:t>
            </w:r>
          </w:p>
        </w:tc>
        <w:tc>
          <w:tcPr>
            <w:tcW w:w="1004" w:type="pct"/>
            <w:vAlign w:val="center"/>
          </w:tcPr>
          <w:p w14:paraId="61DCB66D">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比选时间</w:t>
            </w:r>
          </w:p>
        </w:tc>
        <w:tc>
          <w:tcPr>
            <w:tcW w:w="3556" w:type="pct"/>
            <w:vAlign w:val="center"/>
          </w:tcPr>
          <w:p w14:paraId="11E6E3F3">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lef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见比选公告</w:t>
            </w:r>
          </w:p>
        </w:tc>
      </w:tr>
      <w:tr w14:paraId="4A612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38" w:type="pct"/>
            <w:vAlign w:val="center"/>
          </w:tcPr>
          <w:p w14:paraId="00D20ECF">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10</w:t>
            </w:r>
          </w:p>
        </w:tc>
        <w:tc>
          <w:tcPr>
            <w:tcW w:w="1004" w:type="pct"/>
            <w:vAlign w:val="center"/>
          </w:tcPr>
          <w:p w14:paraId="70B83CEE">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评选方法及</w:t>
            </w:r>
          </w:p>
          <w:p w14:paraId="149E5CEA">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标准</w:t>
            </w:r>
          </w:p>
        </w:tc>
        <w:tc>
          <w:tcPr>
            <w:tcW w:w="3556" w:type="pct"/>
            <w:vAlign w:val="center"/>
          </w:tcPr>
          <w:p w14:paraId="63B6922F">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lef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综合评选法（见比选文件），总分：满分10</w:t>
            </w:r>
            <w:r>
              <w:rPr>
                <w:rFonts w:hint="eastAsia" w:ascii="仿宋" w:hAnsi="仿宋" w:eastAsia="仿宋" w:cs="仿宋"/>
                <w:color w:val="auto"/>
                <w:sz w:val="21"/>
                <w:szCs w:val="21"/>
                <w:highlight w:val="none"/>
                <w:lang w:val="en-US"/>
              </w:rPr>
              <w:t>0</w:t>
            </w:r>
            <w:r>
              <w:rPr>
                <w:rFonts w:hint="eastAsia" w:ascii="仿宋" w:hAnsi="仿宋" w:eastAsia="仿宋" w:cs="仿宋"/>
                <w:color w:val="auto"/>
                <w:sz w:val="21"/>
                <w:szCs w:val="21"/>
                <w:highlight w:val="none"/>
              </w:rPr>
              <w:t>分</w:t>
            </w:r>
          </w:p>
        </w:tc>
      </w:tr>
      <w:tr w14:paraId="6FDB5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trPr>
        <w:tc>
          <w:tcPr>
            <w:tcW w:w="438" w:type="pct"/>
            <w:vAlign w:val="center"/>
          </w:tcPr>
          <w:p w14:paraId="5DDFEB1E">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11</w:t>
            </w:r>
          </w:p>
        </w:tc>
        <w:tc>
          <w:tcPr>
            <w:tcW w:w="1004" w:type="pct"/>
            <w:vAlign w:val="center"/>
          </w:tcPr>
          <w:p w14:paraId="105FB89A">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其他约定</w:t>
            </w:r>
          </w:p>
        </w:tc>
        <w:tc>
          <w:tcPr>
            <w:tcW w:w="3556" w:type="pct"/>
            <w:vAlign w:val="center"/>
          </w:tcPr>
          <w:p w14:paraId="28B84C0C">
            <w:pPr>
              <w:pStyle w:val="13"/>
              <w:keepNext w:val="0"/>
              <w:keepLines/>
              <w:pageBreakBefore w:val="0"/>
              <w:widowControl/>
              <w:kinsoku/>
              <w:wordWrap/>
              <w:overflowPunct/>
              <w:topLinePunct w:val="0"/>
              <w:autoSpaceDE w:val="0"/>
              <w:autoSpaceDN w:val="0"/>
              <w:bidi w:val="0"/>
              <w:adjustRightInd/>
              <w:snapToGrid/>
              <w:spacing w:line="320" w:lineRule="exact"/>
              <w:ind w:left="0" w:leftChars="0"/>
              <w:jc w:val="left"/>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如</w:t>
            </w:r>
            <w:r>
              <w:rPr>
                <w:rFonts w:hint="eastAsia" w:ascii="仿宋" w:hAnsi="仿宋" w:eastAsia="仿宋" w:cs="仿宋"/>
                <w:color w:val="auto"/>
                <w:sz w:val="21"/>
                <w:szCs w:val="21"/>
                <w:highlight w:val="none"/>
                <w:lang w:val="en-US" w:eastAsia="zh-CN"/>
              </w:rPr>
              <w:t>服务</w:t>
            </w:r>
            <w:r>
              <w:rPr>
                <w:rFonts w:hint="eastAsia" w:ascii="仿宋" w:hAnsi="仿宋" w:eastAsia="仿宋" w:cs="仿宋"/>
                <w:color w:val="auto"/>
                <w:sz w:val="21"/>
                <w:szCs w:val="21"/>
                <w:highlight w:val="none"/>
              </w:rPr>
              <w:t>机构存在不当行为（包括但不限于逾期完成工作任务、拒不整改、虽整改后仍不符合要求、违反保密义务、违反职业准则等）， 法院、管理人有权终止其服务合同，重新更换机构，因更换机构而产生的费用和损失由原机构承担。</w:t>
            </w:r>
          </w:p>
        </w:tc>
      </w:tr>
    </w:tbl>
    <w:p w14:paraId="40B0F0BB">
      <w:pPr>
        <w:pStyle w:val="2"/>
        <w:ind w:left="0" w:leftChars="0" w:firstLine="0" w:firstLineChars="0"/>
        <w:rPr>
          <w:rFonts w:hint="default"/>
          <w:color w:val="auto"/>
          <w:lang w:val="en-US" w:eastAsia="zh-CN"/>
        </w:rPr>
      </w:pPr>
    </w:p>
    <w:sectPr>
      <w:footerReference r:id="rId3" w:type="default"/>
      <w:pgSz w:w="11906" w:h="16838"/>
      <w:pgMar w:top="1134" w:right="1134" w:bottom="1134" w:left="1134"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9D46124-4B92-4411-A017-3F314248D31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3F94C336-2E79-40F8-9E7E-4078F9E2877B}"/>
  </w:font>
  <w:font w:name="仿宋">
    <w:panose1 w:val="02010609060101010101"/>
    <w:charset w:val="86"/>
    <w:family w:val="modern"/>
    <w:pitch w:val="default"/>
    <w:sig w:usb0="800002BF" w:usb1="38CF7CFA" w:usb2="00000016" w:usb3="00000000" w:csb0="00040001" w:csb1="00000000"/>
    <w:embedRegular r:id="rId3" w:fontKey="{54CCBF3E-01EE-493B-A854-84BE9B42C6E3}"/>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4" w:fontKey="{08954D59-9468-47BF-BF69-5C89C98BE56C}"/>
  </w:font>
  <w:font w:name="WPSEMBED7">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50D15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426D92">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B426D92">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zNGZhNzY4ODZiZDJlN2M1N2Y0MjNjZDY2NDU4ODMifQ=="/>
  </w:docVars>
  <w:rsids>
    <w:rsidRoot w:val="3A790487"/>
    <w:rsid w:val="00002FAC"/>
    <w:rsid w:val="000F2554"/>
    <w:rsid w:val="001C0A26"/>
    <w:rsid w:val="002655D6"/>
    <w:rsid w:val="004F700B"/>
    <w:rsid w:val="00596FC4"/>
    <w:rsid w:val="00610A42"/>
    <w:rsid w:val="00721E64"/>
    <w:rsid w:val="00825A9D"/>
    <w:rsid w:val="00861ECA"/>
    <w:rsid w:val="00AE3588"/>
    <w:rsid w:val="00C113FB"/>
    <w:rsid w:val="00DA1CBE"/>
    <w:rsid w:val="00DD47F1"/>
    <w:rsid w:val="00F21172"/>
    <w:rsid w:val="00F26FE5"/>
    <w:rsid w:val="012F3736"/>
    <w:rsid w:val="01E274B5"/>
    <w:rsid w:val="021E0797"/>
    <w:rsid w:val="022C79D2"/>
    <w:rsid w:val="02C46BBB"/>
    <w:rsid w:val="02D80CBC"/>
    <w:rsid w:val="03165668"/>
    <w:rsid w:val="045C4323"/>
    <w:rsid w:val="05C44D8F"/>
    <w:rsid w:val="05D0531E"/>
    <w:rsid w:val="06640499"/>
    <w:rsid w:val="06D66774"/>
    <w:rsid w:val="070B300A"/>
    <w:rsid w:val="08251334"/>
    <w:rsid w:val="08F5187C"/>
    <w:rsid w:val="095B1C9B"/>
    <w:rsid w:val="0B70072F"/>
    <w:rsid w:val="0BD47E6F"/>
    <w:rsid w:val="0C1937E2"/>
    <w:rsid w:val="0C217B0F"/>
    <w:rsid w:val="0C9B273A"/>
    <w:rsid w:val="0D044784"/>
    <w:rsid w:val="0DB92F60"/>
    <w:rsid w:val="0DBE0DD6"/>
    <w:rsid w:val="0DC24F48"/>
    <w:rsid w:val="0DDF3200"/>
    <w:rsid w:val="0DEA1BCB"/>
    <w:rsid w:val="0E234189"/>
    <w:rsid w:val="0E611A8F"/>
    <w:rsid w:val="0E8042DE"/>
    <w:rsid w:val="11A20CA3"/>
    <w:rsid w:val="1211524D"/>
    <w:rsid w:val="12560972"/>
    <w:rsid w:val="13257202"/>
    <w:rsid w:val="13FF0FD5"/>
    <w:rsid w:val="145E35BE"/>
    <w:rsid w:val="160A26DF"/>
    <w:rsid w:val="17944956"/>
    <w:rsid w:val="17B96A18"/>
    <w:rsid w:val="185D2F9A"/>
    <w:rsid w:val="198D03AE"/>
    <w:rsid w:val="199D21E8"/>
    <w:rsid w:val="19E35721"/>
    <w:rsid w:val="19F073B0"/>
    <w:rsid w:val="1A536F12"/>
    <w:rsid w:val="1B966EEF"/>
    <w:rsid w:val="1CE65785"/>
    <w:rsid w:val="1DE101C9"/>
    <w:rsid w:val="1E7B061E"/>
    <w:rsid w:val="1ECC0E79"/>
    <w:rsid w:val="202B6355"/>
    <w:rsid w:val="20551DD1"/>
    <w:rsid w:val="2149055F"/>
    <w:rsid w:val="23B220B3"/>
    <w:rsid w:val="23B91B35"/>
    <w:rsid w:val="23EE53EE"/>
    <w:rsid w:val="24D90B5D"/>
    <w:rsid w:val="258D550C"/>
    <w:rsid w:val="260D7C33"/>
    <w:rsid w:val="26A5448A"/>
    <w:rsid w:val="26EB2F05"/>
    <w:rsid w:val="27185E5D"/>
    <w:rsid w:val="274A3283"/>
    <w:rsid w:val="277D48E2"/>
    <w:rsid w:val="27C25832"/>
    <w:rsid w:val="28435D11"/>
    <w:rsid w:val="28893937"/>
    <w:rsid w:val="28FE438B"/>
    <w:rsid w:val="290013CD"/>
    <w:rsid w:val="291A2874"/>
    <w:rsid w:val="292A7D27"/>
    <w:rsid w:val="2A0433CE"/>
    <w:rsid w:val="2B683CD8"/>
    <w:rsid w:val="2CD535EF"/>
    <w:rsid w:val="2D4C460D"/>
    <w:rsid w:val="2D717922"/>
    <w:rsid w:val="2D8C1F00"/>
    <w:rsid w:val="2DAF2971"/>
    <w:rsid w:val="2FBB4840"/>
    <w:rsid w:val="30B37090"/>
    <w:rsid w:val="30BF439A"/>
    <w:rsid w:val="31DE4CF4"/>
    <w:rsid w:val="31FE6D0C"/>
    <w:rsid w:val="326D3392"/>
    <w:rsid w:val="32CD69C2"/>
    <w:rsid w:val="32D162F0"/>
    <w:rsid w:val="33D530A4"/>
    <w:rsid w:val="34390FF5"/>
    <w:rsid w:val="34B34216"/>
    <w:rsid w:val="357A6490"/>
    <w:rsid w:val="35952109"/>
    <w:rsid w:val="368F5380"/>
    <w:rsid w:val="369922BA"/>
    <w:rsid w:val="37B15C97"/>
    <w:rsid w:val="38096FD9"/>
    <w:rsid w:val="383E46D2"/>
    <w:rsid w:val="38637D01"/>
    <w:rsid w:val="38C764E2"/>
    <w:rsid w:val="39765034"/>
    <w:rsid w:val="3993199D"/>
    <w:rsid w:val="3A704957"/>
    <w:rsid w:val="3A790487"/>
    <w:rsid w:val="3AFB19E3"/>
    <w:rsid w:val="3BF82E56"/>
    <w:rsid w:val="3C0D6298"/>
    <w:rsid w:val="3C4A1903"/>
    <w:rsid w:val="3D06008F"/>
    <w:rsid w:val="3D34654F"/>
    <w:rsid w:val="3E4334FF"/>
    <w:rsid w:val="3EB9BF34"/>
    <w:rsid w:val="3F8B28B5"/>
    <w:rsid w:val="3FA806EF"/>
    <w:rsid w:val="40BE35E4"/>
    <w:rsid w:val="40F57B37"/>
    <w:rsid w:val="411C3143"/>
    <w:rsid w:val="41822BCA"/>
    <w:rsid w:val="425F6284"/>
    <w:rsid w:val="4267663F"/>
    <w:rsid w:val="440F51E1"/>
    <w:rsid w:val="445D5F4C"/>
    <w:rsid w:val="458E0034"/>
    <w:rsid w:val="45BE58CC"/>
    <w:rsid w:val="483B47F6"/>
    <w:rsid w:val="4929616D"/>
    <w:rsid w:val="49891E33"/>
    <w:rsid w:val="49BD2A5E"/>
    <w:rsid w:val="4A611EC8"/>
    <w:rsid w:val="4AE23DDD"/>
    <w:rsid w:val="4B7643B8"/>
    <w:rsid w:val="4B7A73E4"/>
    <w:rsid w:val="4CDC34AC"/>
    <w:rsid w:val="4E1C6E78"/>
    <w:rsid w:val="4E915170"/>
    <w:rsid w:val="4EDF237F"/>
    <w:rsid w:val="4F7E3A46"/>
    <w:rsid w:val="504F7091"/>
    <w:rsid w:val="506D6485"/>
    <w:rsid w:val="50CF1F80"/>
    <w:rsid w:val="514209A3"/>
    <w:rsid w:val="51C15D6C"/>
    <w:rsid w:val="52232583"/>
    <w:rsid w:val="5439632E"/>
    <w:rsid w:val="54816B15"/>
    <w:rsid w:val="54F9778C"/>
    <w:rsid w:val="5588094F"/>
    <w:rsid w:val="560501F2"/>
    <w:rsid w:val="566F3475"/>
    <w:rsid w:val="57137E71"/>
    <w:rsid w:val="577A36AD"/>
    <w:rsid w:val="59044B9F"/>
    <w:rsid w:val="59146221"/>
    <w:rsid w:val="59464DA9"/>
    <w:rsid w:val="595651E5"/>
    <w:rsid w:val="596F671B"/>
    <w:rsid w:val="5AC63CE7"/>
    <w:rsid w:val="5ACF4116"/>
    <w:rsid w:val="5B3A68BD"/>
    <w:rsid w:val="5B7F5DBE"/>
    <w:rsid w:val="5BEF797A"/>
    <w:rsid w:val="5C8C6F77"/>
    <w:rsid w:val="5CC639C3"/>
    <w:rsid w:val="5D1F42B7"/>
    <w:rsid w:val="5D3E4715"/>
    <w:rsid w:val="5D6121B1"/>
    <w:rsid w:val="5D7719D5"/>
    <w:rsid w:val="5D7F37C3"/>
    <w:rsid w:val="5F2142EE"/>
    <w:rsid w:val="5F296CFF"/>
    <w:rsid w:val="5FF06C4E"/>
    <w:rsid w:val="601654D5"/>
    <w:rsid w:val="60341DFF"/>
    <w:rsid w:val="614E633F"/>
    <w:rsid w:val="61603621"/>
    <w:rsid w:val="62127F1E"/>
    <w:rsid w:val="62145A44"/>
    <w:rsid w:val="626544F2"/>
    <w:rsid w:val="63065C46"/>
    <w:rsid w:val="64A06EEC"/>
    <w:rsid w:val="64AC60A5"/>
    <w:rsid w:val="64E060B2"/>
    <w:rsid w:val="64F827EA"/>
    <w:rsid w:val="65A3380F"/>
    <w:rsid w:val="66835F98"/>
    <w:rsid w:val="66A650D9"/>
    <w:rsid w:val="68036460"/>
    <w:rsid w:val="6822237A"/>
    <w:rsid w:val="68772057"/>
    <w:rsid w:val="68C77CB4"/>
    <w:rsid w:val="68CA1553"/>
    <w:rsid w:val="691C0C8F"/>
    <w:rsid w:val="69267E8A"/>
    <w:rsid w:val="695F2CC3"/>
    <w:rsid w:val="69825989"/>
    <w:rsid w:val="69E403F2"/>
    <w:rsid w:val="6ADE6688"/>
    <w:rsid w:val="6C0D1D63"/>
    <w:rsid w:val="6CA43C7C"/>
    <w:rsid w:val="6CA9147F"/>
    <w:rsid w:val="6CD936AA"/>
    <w:rsid w:val="6D8D6A31"/>
    <w:rsid w:val="6DC31894"/>
    <w:rsid w:val="6E584EA3"/>
    <w:rsid w:val="6E9937B4"/>
    <w:rsid w:val="6EB32A89"/>
    <w:rsid w:val="6EC9009B"/>
    <w:rsid w:val="7114540B"/>
    <w:rsid w:val="722C0B88"/>
    <w:rsid w:val="729D55E2"/>
    <w:rsid w:val="72B532D1"/>
    <w:rsid w:val="73125FD0"/>
    <w:rsid w:val="75D678CA"/>
    <w:rsid w:val="76B52863"/>
    <w:rsid w:val="76E122B3"/>
    <w:rsid w:val="77A271E5"/>
    <w:rsid w:val="78850FF2"/>
    <w:rsid w:val="792E51E6"/>
    <w:rsid w:val="7A4F18B8"/>
    <w:rsid w:val="7AE31E04"/>
    <w:rsid w:val="7C203C51"/>
    <w:rsid w:val="7CF77FE5"/>
    <w:rsid w:val="7CFF215E"/>
    <w:rsid w:val="7D831878"/>
    <w:rsid w:val="7D8E734E"/>
    <w:rsid w:val="7E8628FA"/>
    <w:rsid w:val="7F3F03D6"/>
    <w:rsid w:val="E63CBC61"/>
    <w:rsid w:val="E7FD2A69"/>
    <w:rsid w:val="EB4F0F0A"/>
    <w:rsid w:val="EFDD8EB3"/>
    <w:rsid w:val="F3FB8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3">
    <w:name w:val="heading 1"/>
    <w:basedOn w:val="4"/>
    <w:next w:val="1"/>
    <w:qFormat/>
    <w:uiPriority w:val="0"/>
    <w:pPr>
      <w:keepNext/>
      <w:keepLines/>
      <w:spacing w:line="360" w:lineRule="auto"/>
    </w:pPr>
    <w:rPr>
      <w:rFonts w:eastAsia="华文中宋"/>
      <w:kern w:val="44"/>
    </w:rPr>
  </w:style>
  <w:style w:type="paragraph" w:styleId="5">
    <w:name w:val="heading 2"/>
    <w:basedOn w:val="1"/>
    <w:next w:val="1"/>
    <w:unhideWhenUsed/>
    <w:qFormat/>
    <w:uiPriority w:val="0"/>
    <w:pPr>
      <w:keepNext/>
      <w:keepLines/>
      <w:spacing w:line="480" w:lineRule="auto"/>
      <w:outlineLvl w:val="1"/>
    </w:pPr>
    <w:rPr>
      <w:rFonts w:ascii="Arial" w:hAnsi="Arial"/>
      <w:b/>
      <w:sz w:val="32"/>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700"/>
    </w:pPr>
    <w:rPr>
      <w:sz w:val="32"/>
      <w:szCs w:val="32"/>
    </w:rPr>
  </w:style>
  <w:style w:type="paragraph" w:styleId="4">
    <w:name w:val="Title"/>
    <w:basedOn w:val="1"/>
    <w:qFormat/>
    <w:uiPriority w:val="0"/>
    <w:pPr>
      <w:spacing w:before="240" w:after="60"/>
      <w:jc w:val="center"/>
      <w:outlineLvl w:val="0"/>
    </w:pPr>
    <w:rPr>
      <w:rFonts w:ascii="Arial" w:hAnsi="Arial"/>
      <w:b/>
      <w:sz w:val="32"/>
    </w:rPr>
  </w:style>
  <w:style w:type="paragraph" w:styleId="6">
    <w:name w:val="annotation text"/>
    <w:basedOn w:val="1"/>
    <w:qFormat/>
    <w:uiPriority w:val="0"/>
    <w:pPr>
      <w:jc w:val="left"/>
    </w:pPr>
  </w:style>
  <w:style w:type="paragraph" w:styleId="7">
    <w:name w:val="footer"/>
    <w:basedOn w:val="1"/>
    <w:link w:val="15"/>
    <w:qFormat/>
    <w:uiPriority w:val="0"/>
    <w:pPr>
      <w:tabs>
        <w:tab w:val="center" w:pos="4153"/>
        <w:tab w:val="right" w:pos="8306"/>
      </w:tabs>
      <w:snapToGrid w:val="0"/>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List Paragraph"/>
    <w:basedOn w:val="1"/>
    <w:qFormat/>
    <w:uiPriority w:val="1"/>
    <w:pPr>
      <w:spacing w:before="2"/>
      <w:ind w:left="700" w:firstLine="640"/>
    </w:pPr>
  </w:style>
  <w:style w:type="paragraph" w:customStyle="1" w:styleId="13">
    <w:name w:val="Table Paragraph"/>
    <w:basedOn w:val="1"/>
    <w:qFormat/>
    <w:uiPriority w:val="1"/>
  </w:style>
  <w:style w:type="character" w:customStyle="1" w:styleId="14">
    <w:name w:val="页眉 字符"/>
    <w:basedOn w:val="11"/>
    <w:link w:val="8"/>
    <w:qFormat/>
    <w:uiPriority w:val="0"/>
    <w:rPr>
      <w:rFonts w:ascii="仿宋" w:hAnsi="仿宋" w:eastAsia="仿宋" w:cs="仿宋"/>
      <w:sz w:val="18"/>
      <w:szCs w:val="18"/>
      <w:lang w:val="zh-CN" w:bidi="zh-CN"/>
    </w:rPr>
  </w:style>
  <w:style w:type="character" w:customStyle="1" w:styleId="15">
    <w:name w:val="页脚 字符"/>
    <w:basedOn w:val="11"/>
    <w:link w:val="7"/>
    <w:qFormat/>
    <w:uiPriority w:val="0"/>
    <w:rPr>
      <w:rFonts w:ascii="仿宋" w:hAnsi="仿宋" w:eastAsia="仿宋" w:cs="仿宋"/>
      <w:sz w:val="18"/>
      <w:szCs w:val="18"/>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1801</Words>
  <Characters>1809</Characters>
  <Lines>3</Lines>
  <Paragraphs>1</Paragraphs>
  <TotalTime>19</TotalTime>
  <ScaleCrop>false</ScaleCrop>
  <LinksUpToDate>false</LinksUpToDate>
  <CharactersWithSpaces>1818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2020-08-13T17:55:00Z</dcterms:created>
  <dc:creator>LDQ</dc:creator>
  <cp:lastModifiedBy>英特信＊饶情律师</cp:lastModifiedBy>
  <dcterms:modified xsi:type="dcterms:W3CDTF">2026-01-27T04:30:12Z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05CAE4D7F0D2490B8F8CAD25D87CDEDB_13</vt:lpwstr>
  </property>
  <property fmtid="{D5CDD505-2E9C-101B-9397-08002B2CF9AE}" pid="4" name="KSOTemplateDocerSaveRecord">
    <vt:lpwstr>eyJoZGlkIjoiMzEwNTM5NzYwMDRjMzkwZTVkZjY2ODkwMGIxNGU0OTUiLCJ1c2VySWQiOiI0NDI0OTU0MTAifQ==</vt:lpwstr>
  </property>
</Properties>
</file>