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C96A4A">
      <w:pPr>
        <w:pStyle w:val="12"/>
        <w:tabs>
          <w:tab w:val="left" w:pos="1661"/>
        </w:tabs>
        <w:spacing w:before="0" w:line="600" w:lineRule="exact"/>
        <w:ind w:left="0" w:firstLine="0"/>
        <w:jc w:val="both"/>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附件2</w:t>
      </w:r>
    </w:p>
    <w:p w14:paraId="4C610D4C">
      <w:pPr>
        <w:pStyle w:val="12"/>
        <w:tabs>
          <w:tab w:val="left" w:pos="1661"/>
        </w:tabs>
        <w:spacing w:before="0" w:line="600" w:lineRule="exact"/>
        <w:ind w:left="0" w:firstLine="0"/>
        <w:jc w:val="center"/>
        <w:rPr>
          <w:rFonts w:hint="eastAsia" w:ascii="仿宋" w:hAnsi="仿宋" w:eastAsia="仿宋" w:cs="仿宋"/>
          <w:b/>
          <w:bCs/>
          <w:color w:val="auto"/>
          <w:sz w:val="44"/>
          <w:szCs w:val="44"/>
          <w:highlight w:val="none"/>
          <w:lang w:val="en-US"/>
        </w:rPr>
      </w:pPr>
      <w:r>
        <w:rPr>
          <w:rFonts w:hint="eastAsia" w:ascii="仿宋" w:hAnsi="仿宋" w:eastAsia="仿宋" w:cs="仿宋"/>
          <w:b/>
          <w:bCs/>
          <w:color w:val="auto"/>
          <w:sz w:val="44"/>
          <w:szCs w:val="44"/>
          <w:highlight w:val="none"/>
          <w:lang w:val="en-US"/>
        </w:rPr>
        <w:t>比选规则</w:t>
      </w:r>
    </w:p>
    <w:p w14:paraId="2136A509">
      <w:pPr>
        <w:pStyle w:val="12"/>
        <w:tabs>
          <w:tab w:val="left" w:pos="1661"/>
        </w:tabs>
        <w:spacing w:before="0" w:line="600" w:lineRule="exact"/>
        <w:ind w:left="0" w:firstLine="0"/>
        <w:jc w:val="both"/>
        <w:rPr>
          <w:rFonts w:hint="eastAsia" w:ascii="仿宋" w:hAnsi="仿宋" w:eastAsia="仿宋" w:cs="仿宋"/>
          <w:b/>
          <w:bCs/>
          <w:color w:val="auto"/>
          <w:sz w:val="28"/>
          <w:szCs w:val="28"/>
          <w:highlight w:val="none"/>
          <w:lang w:val="en-US"/>
        </w:rPr>
      </w:pPr>
    </w:p>
    <w:p w14:paraId="74FBFD0C">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第一部分：</w:t>
      </w:r>
      <w:r>
        <w:rPr>
          <w:rFonts w:hint="eastAsia" w:ascii="仿宋" w:hAnsi="仿宋" w:eastAsia="仿宋" w:cs="仿宋"/>
          <w:b/>
          <w:bCs/>
          <w:color w:val="auto"/>
          <w:sz w:val="28"/>
          <w:szCs w:val="28"/>
          <w:highlight w:val="none"/>
          <w:lang w:val="en-US"/>
        </w:rPr>
        <w:t>总则</w:t>
      </w:r>
    </w:p>
    <w:p w14:paraId="35D6D49F">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本项目的比选人为</w:t>
      </w:r>
      <w:r>
        <w:rPr>
          <w:rFonts w:hint="eastAsia" w:ascii="仿宋" w:hAnsi="仿宋" w:eastAsia="仿宋" w:cs="仿宋"/>
          <w:color w:val="auto"/>
          <w:sz w:val="28"/>
          <w:szCs w:val="28"/>
          <w:highlight w:val="none"/>
          <w:lang w:eastAsia="zh-CN"/>
        </w:rPr>
        <w:t>四川省佳宇建设集团有限公司</w:t>
      </w:r>
      <w:r>
        <w:rPr>
          <w:rFonts w:hint="eastAsia" w:ascii="仿宋" w:hAnsi="仿宋" w:eastAsia="仿宋" w:cs="仿宋"/>
          <w:color w:val="auto"/>
          <w:sz w:val="28"/>
          <w:szCs w:val="28"/>
          <w:highlight w:val="none"/>
          <w:lang w:val="en-US"/>
        </w:rPr>
        <w:t>管理人，比选人组建的评选小组负责评选工作，</w:t>
      </w:r>
      <w:r>
        <w:rPr>
          <w:rFonts w:hint="eastAsia" w:cs="仿宋"/>
          <w:color w:val="auto"/>
          <w:sz w:val="28"/>
          <w:szCs w:val="28"/>
          <w:highlight w:val="none"/>
          <w:lang w:val="en-US" w:eastAsia="zh-CN"/>
        </w:rPr>
        <w:t>将</w:t>
      </w:r>
      <w:r>
        <w:rPr>
          <w:rFonts w:hint="eastAsia" w:ascii="仿宋" w:hAnsi="仿宋" w:eastAsia="仿宋" w:cs="仿宋"/>
          <w:color w:val="auto"/>
          <w:sz w:val="28"/>
          <w:szCs w:val="28"/>
          <w:highlight w:val="none"/>
          <w:lang w:val="en-US"/>
        </w:rPr>
        <w:t>邀请债务人、债权人代表、法院工作人员</w:t>
      </w:r>
      <w:r>
        <w:rPr>
          <w:rFonts w:hint="eastAsia" w:ascii="仿宋" w:hAnsi="仿宋" w:eastAsia="仿宋" w:cs="仿宋"/>
          <w:color w:val="auto"/>
          <w:sz w:val="28"/>
          <w:szCs w:val="28"/>
          <w:highlight w:val="none"/>
          <w:lang w:val="en-US" w:eastAsia="zh-CN"/>
        </w:rPr>
        <w:t>、政府工作人员</w:t>
      </w:r>
      <w:r>
        <w:rPr>
          <w:rFonts w:hint="eastAsia" w:ascii="仿宋" w:hAnsi="仿宋" w:eastAsia="仿宋" w:cs="仿宋"/>
          <w:color w:val="auto"/>
          <w:sz w:val="28"/>
          <w:szCs w:val="28"/>
          <w:highlight w:val="none"/>
          <w:lang w:val="en-US"/>
        </w:rPr>
        <w:t>参与比选过程。</w:t>
      </w:r>
    </w:p>
    <w:p w14:paraId="7199E511">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第二部分：</w:t>
      </w:r>
      <w:r>
        <w:rPr>
          <w:rFonts w:hint="eastAsia" w:ascii="仿宋" w:hAnsi="仿宋" w:eastAsia="仿宋" w:cs="仿宋"/>
          <w:b/>
          <w:bCs/>
          <w:color w:val="auto"/>
          <w:sz w:val="28"/>
          <w:szCs w:val="28"/>
          <w:highlight w:val="none"/>
          <w:lang w:val="en-US"/>
        </w:rPr>
        <w:t>服务范围及工作要求</w:t>
      </w:r>
    </w:p>
    <w:p w14:paraId="75EFCE76">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本次审计服务范围为佳宇集团公司财务审计和重点项目专项审计，具体审计内容包括但不限于：</w:t>
      </w:r>
    </w:p>
    <w:p w14:paraId="5AD45D30">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bookmarkStart w:id="0" w:name="heading_7"/>
      <w:r>
        <w:rPr>
          <w:rFonts w:hint="eastAsia" w:ascii="仿宋" w:hAnsi="仿宋" w:eastAsia="仿宋" w:cs="仿宋"/>
          <w:color w:val="auto"/>
          <w:sz w:val="28"/>
          <w:szCs w:val="28"/>
          <w:lang w:val="en-US" w:eastAsia="zh-CN"/>
        </w:rPr>
        <w:t>（一）公司财务状况审计</w:t>
      </w:r>
      <w:bookmarkEnd w:id="0"/>
    </w:p>
    <w:p w14:paraId="0620EC60">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1、全面审查佳宇集团资产、负债、所有者权益情况，核实资产真实性、合法性及权属完整性，包括但不限于流动资产、固定资产、无形资产、对外投资、应收账款、应付账款等，编制资产负债清查表。</w:t>
      </w:r>
    </w:p>
    <w:p w14:paraId="7A54A988">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2、审查佳宇集团注册资本实缴情况，结合财务资料及资金流水，核查是否存在虚假出资、出资不全、抽逃出资等情形，就股东出资到位情况发表独立审计意见。</w:t>
      </w:r>
    </w:p>
    <w:p w14:paraId="73ABD317">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3、梳理佳宇集团自成立以来的财务账册、会计凭证、财务报表等资料，核查财务核算是否符合会计准则及相关法律法规要求，对不规范账目进行调整说明，补全缺失财务资料的清查记录。</w:t>
      </w:r>
    </w:p>
    <w:p w14:paraId="3F88A0DD">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4、组织开展资产盘点工作，核实存货、固定资产等实物资产的实际占有、使用状态，处理资产盘盈、盘亏、报废及呆账、坏账核销事宜。</w:t>
      </w:r>
    </w:p>
    <w:p w14:paraId="0E357E32">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5、审计佳宇集团与股东、实际控制人、关联企业之间的大额资金往来、关联交易情况，核查交易真实性、定价公允性，是否存在利益输送、转移资产等损害债权人利益的行为。</w:t>
      </w:r>
    </w:p>
    <w:p w14:paraId="01D759BD">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审计裁定受理破产清算日前1年内，佳宇集团是否存在《中华人民共和国企业破产法》第三十一条规定的行为，包括无偿转让财产、以明显不合理价格交易、对无财产担保债务提供担保、提前清偿未到期债务、放弃债权等。</w:t>
      </w:r>
    </w:p>
    <w:p w14:paraId="7AB60C55">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7、审计裁定受理破产清算日前6个月内，佳宇集团是否存在《中华人民共和国企业破产法》第三十二条规定的个别清偿行为，核查个别清偿的真实性、合法性及是否具备撤销条件。</w:t>
      </w:r>
    </w:p>
    <w:p w14:paraId="640928E4">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8、审查佳宇集团董事、监事、高级管理人员以及重点人员在履职过程中是否存在利用职权获取非正常收入、侵占企业财产的行为，是否存在与债务人、债权人的不当交易行为。</w:t>
      </w:r>
    </w:p>
    <w:p w14:paraId="0FB336DC">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9、核查佳宇集团对外担保情况，包括为关联企业及第三方提供担保的真实性、合法性，担保责任范围及后续影响。</w:t>
      </w:r>
    </w:p>
    <w:p w14:paraId="76BDFFF2">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bookmarkStart w:id="1" w:name="heading_9"/>
      <w:r>
        <w:rPr>
          <w:rFonts w:hint="eastAsia" w:ascii="仿宋" w:hAnsi="仿宋" w:eastAsia="仿宋" w:cs="仿宋"/>
          <w:color w:val="auto"/>
          <w:sz w:val="28"/>
          <w:szCs w:val="28"/>
          <w:lang w:val="en-US" w:eastAsia="zh-CN"/>
        </w:rPr>
        <w:t>（二）重点项目专项审计</w:t>
      </w:r>
      <w:bookmarkEnd w:id="1"/>
    </w:p>
    <w:p w14:paraId="4668B43A">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1、协助管理人审核债权申报材料，对申报债权的真实性、合法性、准确性进行核查，</w:t>
      </w:r>
      <w:r>
        <w:rPr>
          <w:rFonts w:hint="default" w:ascii="仿宋" w:hAnsi="仿宋" w:eastAsia="仿宋" w:cs="仿宋"/>
          <w:color w:val="auto"/>
          <w:kern w:val="2"/>
          <w:sz w:val="28"/>
          <w:szCs w:val="28"/>
          <w:lang w:val="en-US" w:eastAsia="zh-CN" w:bidi="ar-SA"/>
        </w:rPr>
        <w:t>对涉及工程款、民间借贷、担保债务</w:t>
      </w:r>
      <w:r>
        <w:rPr>
          <w:rFonts w:hint="eastAsia" w:ascii="仿宋" w:hAnsi="仿宋" w:eastAsia="仿宋" w:cs="仿宋"/>
          <w:color w:val="auto"/>
          <w:kern w:val="2"/>
          <w:sz w:val="28"/>
          <w:szCs w:val="28"/>
          <w:lang w:val="en-US" w:eastAsia="zh-CN" w:bidi="ar-SA"/>
        </w:rPr>
        <w:t>、民工工资</w:t>
      </w:r>
      <w:r>
        <w:rPr>
          <w:rFonts w:hint="default" w:ascii="仿宋" w:hAnsi="仿宋" w:eastAsia="仿宋" w:cs="仿宋"/>
          <w:color w:val="auto"/>
          <w:kern w:val="2"/>
          <w:sz w:val="28"/>
          <w:szCs w:val="28"/>
          <w:lang w:val="en-US" w:eastAsia="zh-CN" w:bidi="ar-SA"/>
        </w:rPr>
        <w:t>等复杂债权提供专业意见</w:t>
      </w:r>
      <w:r>
        <w:rPr>
          <w:rFonts w:hint="eastAsia" w:ascii="仿宋" w:hAnsi="仿宋" w:eastAsia="仿宋" w:cs="仿宋"/>
          <w:color w:val="auto"/>
          <w:sz w:val="28"/>
          <w:szCs w:val="28"/>
          <w:lang w:val="en-US" w:eastAsia="zh-CN"/>
        </w:rPr>
        <w:t>，配合编制债权债务清册。</w:t>
      </w:r>
    </w:p>
    <w:p w14:paraId="2AD5385D">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2、针对重点项目的工程款收入、支付、合同签订、结算等项目全面情况，进行专项审计，并出具项目专项审计报告。</w:t>
      </w:r>
    </w:p>
    <w:p w14:paraId="7DB6122F">
      <w:pPr>
        <w:pStyle w:val="2"/>
        <w:ind w:left="0" w:leftChars="0" w:firstLine="560" w:firstLineChars="200"/>
        <w:rPr>
          <w:rFonts w:hint="default"/>
          <w:lang w:val="en-US" w:eastAsia="zh-CN"/>
        </w:rPr>
      </w:pPr>
      <w:r>
        <w:rPr>
          <w:rFonts w:hint="eastAsia" w:ascii="仿宋" w:hAnsi="仿宋" w:eastAsia="仿宋" w:cs="仿宋"/>
          <w:color w:val="auto"/>
          <w:sz w:val="28"/>
          <w:szCs w:val="28"/>
          <w:lang w:val="en-US" w:eastAsia="zh-CN"/>
        </w:rPr>
        <w:t xml:space="preserve"> 3、针对重点项目的收支情况分析是否存在挪用款项、虚报工程量、虚报农民工工资或其他不正当行为。</w:t>
      </w:r>
    </w:p>
    <w:p w14:paraId="64FB007C">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bookmarkStart w:id="2" w:name="heading_10"/>
      <w:r>
        <w:rPr>
          <w:rFonts w:hint="eastAsia" w:ascii="仿宋" w:hAnsi="仿宋" w:eastAsia="仿宋" w:cs="仿宋"/>
          <w:color w:val="auto"/>
          <w:sz w:val="28"/>
          <w:szCs w:val="28"/>
          <w:lang w:val="en-US" w:eastAsia="zh-CN"/>
        </w:rPr>
        <w:t>（三）其他服务事项</w:t>
      </w:r>
      <w:bookmarkEnd w:id="2"/>
    </w:p>
    <w:p w14:paraId="74396CFB">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1、按管理人要求列席债权人会议，就审计报告内容、审计发现的重大问题进行解释说明。</w:t>
      </w:r>
    </w:p>
    <w:p w14:paraId="22406B44">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2、配合资产评估机构开展工作，提供必要的财务数据及审计资料，协助完成资产价值测算。</w:t>
      </w:r>
    </w:p>
    <w:p w14:paraId="429DA615">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3、根据法院及管理人要求，就专项问题出具补充审计报告或专项说明，配合重整程序中的其他财务核查工作。</w:t>
      </w:r>
    </w:p>
    <w:p w14:paraId="6FF5AFEA">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4、审计工作完成后，整理全部审计工作底稿、资料，归档移交管理人。</w:t>
      </w:r>
    </w:p>
    <w:p w14:paraId="16A1489B">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第三部分：</w:t>
      </w:r>
      <w:r>
        <w:rPr>
          <w:rFonts w:hint="eastAsia" w:ascii="仿宋" w:hAnsi="仿宋" w:eastAsia="仿宋" w:cs="仿宋"/>
          <w:b/>
          <w:bCs/>
          <w:color w:val="auto"/>
          <w:sz w:val="28"/>
          <w:szCs w:val="28"/>
          <w:highlight w:val="none"/>
          <w:lang w:val="en-US"/>
        </w:rPr>
        <w:t>申请人资格要求</w:t>
      </w:r>
    </w:p>
    <w:p w14:paraId="081E640F">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（一）参选机构在中华人民共和国境内依法注册，持有财政部门核发的会计师事务所执业证书，具备独立法人资格，营业执照经营范围包含审计服务相关业务，</w:t>
      </w:r>
      <w:r>
        <w:rPr>
          <w:rFonts w:hint="default" w:ascii="仿宋" w:hAnsi="仿宋" w:eastAsia="仿宋" w:cs="仿宋"/>
          <w:color w:val="auto"/>
          <w:kern w:val="2"/>
          <w:sz w:val="28"/>
          <w:szCs w:val="28"/>
          <w:lang w:val="en-US" w:eastAsia="zh-CN" w:bidi="ar-SA"/>
        </w:rPr>
        <w:t>并处于正常执业状态。</w:t>
      </w:r>
    </w:p>
    <w:p w14:paraId="421028AB">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（二）编入四川省高级人民法院或成都市中级人民法院对外委托专业机构名册，具备破产案件审计执业资质。</w:t>
      </w:r>
    </w:p>
    <w:p w14:paraId="6196CD72">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三）核心团队成员具备3年以上破产企业审计经验，团队配置齐全（至少包含3名相对固定的注册会计师及财务审计专业人员），项目负责人需具备5年以上破产审计项目主持经验，熟悉建筑施工及房地产开发企业财务核算特点，</w:t>
      </w:r>
      <w:r>
        <w:rPr>
          <w:rFonts w:hint="default" w:ascii="仿宋" w:hAnsi="仿宋" w:eastAsia="仿宋" w:cs="仿宋"/>
          <w:color w:val="auto"/>
          <w:kern w:val="2"/>
          <w:sz w:val="28"/>
          <w:szCs w:val="28"/>
          <w:lang w:val="en-US" w:eastAsia="zh-CN" w:bidi="ar-SA"/>
        </w:rPr>
        <w:t>熟悉《企业破产法》及相关司法解释对财务审计工作的要求。</w:t>
      </w:r>
    </w:p>
    <w:p w14:paraId="6DD62CBA">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（四）近5年内成功承办过至少</w:t>
      </w:r>
      <w:r>
        <w:rPr>
          <w:rFonts w:hint="eastAsia" w:cs="仿宋"/>
          <w:color w:val="auto"/>
          <w:sz w:val="28"/>
          <w:szCs w:val="28"/>
          <w:lang w:val="en-US" w:eastAsia="zh-CN"/>
        </w:rPr>
        <w:t>2</w:t>
      </w:r>
      <w:r>
        <w:rPr>
          <w:rFonts w:hint="eastAsia" w:ascii="仿宋" w:hAnsi="仿宋" w:eastAsia="仿宋" w:cs="仿宋"/>
          <w:color w:val="auto"/>
          <w:sz w:val="28"/>
          <w:szCs w:val="28"/>
          <w:lang w:val="en-US" w:eastAsia="zh-CN"/>
        </w:rPr>
        <w:t>起破产企业（优先为建筑或房地产行业）审计项目，能提供项目合同、审计报告、委托方证明等完整案例材料。</w:t>
      </w:r>
    </w:p>
    <w:p w14:paraId="07CA491B">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（五）参选机构与本案债务人、债权人、管理人及相关人员无利益关系或其他影响独立公正审计的利害关系，无其他依规定应当予以回避的情形；未参与过佳宇集团过往验资、年度审计等相关财务服务。</w:t>
      </w:r>
    </w:p>
    <w:p w14:paraId="25E476EC">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六）近3年内，参选机构及其从业人员未因执业过失、违法违规行为受到财政部门、行业协会等行政机关或监管机构的行政处罚、纪律处分，未被列入国家信用信息公示系统失信人名单，无重大诉讼或仲裁纠纷影响执业能力。</w:t>
      </w:r>
    </w:p>
    <w:p w14:paraId="79DE7BDE">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（七）能够满足管理人对审计工作的时间要求，</w:t>
      </w:r>
      <w:r>
        <w:rPr>
          <w:rFonts w:hint="eastAsia" w:ascii="仿宋" w:hAnsi="仿宋" w:eastAsia="仿宋" w:cs="仿宋"/>
          <w:color w:val="auto"/>
          <w:sz w:val="28"/>
          <w:szCs w:val="28"/>
          <w:highlight w:val="none"/>
          <w:lang w:val="en-US" w:eastAsia="zh-CN"/>
        </w:rPr>
        <w:t>承诺在中选进场后</w:t>
      </w:r>
      <w:r>
        <w:rPr>
          <w:rFonts w:hint="eastAsia" w:cs="仿宋"/>
          <w:color w:val="auto"/>
          <w:sz w:val="28"/>
          <w:szCs w:val="28"/>
          <w:highlight w:val="none"/>
          <w:lang w:val="en-US" w:eastAsia="zh-CN"/>
        </w:rPr>
        <w:t>60</w:t>
      </w:r>
      <w:r>
        <w:rPr>
          <w:rFonts w:hint="eastAsia" w:ascii="仿宋" w:hAnsi="仿宋" w:eastAsia="仿宋" w:cs="仿宋"/>
          <w:color w:val="auto"/>
          <w:sz w:val="28"/>
          <w:szCs w:val="28"/>
          <w:highlight w:val="none"/>
          <w:lang w:val="en-US" w:eastAsia="zh-CN"/>
        </w:rPr>
        <w:t>日内出具初步审计报告</w:t>
      </w:r>
      <w:r>
        <w:rPr>
          <w:rFonts w:hint="eastAsia" w:cs="仿宋"/>
          <w:color w:val="auto"/>
          <w:sz w:val="28"/>
          <w:szCs w:val="28"/>
          <w:highlight w:val="none"/>
          <w:lang w:val="en-US" w:eastAsia="zh-CN"/>
        </w:rPr>
        <w:t>（若遇法定节假日则顺延相应期限）</w:t>
      </w:r>
      <w:r>
        <w:rPr>
          <w:rFonts w:hint="eastAsia" w:ascii="仿宋" w:hAnsi="仿宋" w:eastAsia="仿宋" w:cs="仿宋"/>
          <w:color w:val="auto"/>
          <w:sz w:val="28"/>
          <w:szCs w:val="28"/>
          <w:lang w:val="en-US" w:eastAsia="zh-CN"/>
        </w:rPr>
        <w:t>，按管理人要求及时提交正式审计报告及相关专项报告，并配合后续补充审计工作。</w:t>
      </w:r>
      <w:r>
        <w:rPr>
          <w:rFonts w:hint="eastAsia" w:cs="仿宋"/>
          <w:color w:val="auto"/>
          <w:sz w:val="28"/>
          <w:szCs w:val="28"/>
          <w:highlight w:val="none"/>
          <w:lang w:val="en-US" w:eastAsia="zh-CN"/>
        </w:rPr>
        <w:t>后续可根据具体审计情况，报债权人委员会决定是否延长提交审计报告的时间。</w:t>
      </w:r>
    </w:p>
    <w:p w14:paraId="720B6F9B">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（八）认可本公告及后续比选文件要求，承诺配合管理人、债权人委员会决策，接受工作质量考核机制约束，愿意以破产费用优先受偿方式收取服务费用。</w:t>
      </w:r>
    </w:p>
    <w:p w14:paraId="5D288279">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第四部分：</w:t>
      </w:r>
      <w:r>
        <w:rPr>
          <w:rFonts w:hint="eastAsia" w:ascii="仿宋" w:hAnsi="仿宋" w:eastAsia="仿宋" w:cs="仿宋"/>
          <w:b/>
          <w:bCs/>
          <w:color w:val="auto"/>
          <w:sz w:val="28"/>
          <w:szCs w:val="28"/>
          <w:highlight w:val="none"/>
          <w:lang w:val="en-US"/>
        </w:rPr>
        <w:t>比选费用</w:t>
      </w:r>
    </w:p>
    <w:p w14:paraId="4BDB9364">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本次比选，比选人不收取任何费用。但参选人应自行承担其编制比选申请文件及递交比选申请文件所涉及的一切费用。无论比选结果如何，比选人对上述费用不负任何责任。</w:t>
      </w:r>
    </w:p>
    <w:p w14:paraId="11B799B4">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第五部分：</w:t>
      </w:r>
      <w:r>
        <w:rPr>
          <w:rFonts w:hint="eastAsia" w:ascii="仿宋" w:hAnsi="仿宋" w:eastAsia="仿宋" w:cs="仿宋"/>
          <w:b/>
          <w:bCs/>
          <w:color w:val="auto"/>
          <w:sz w:val="28"/>
          <w:szCs w:val="28"/>
          <w:highlight w:val="none"/>
          <w:lang w:val="en-US"/>
        </w:rPr>
        <w:t>备选机构接替条件</w:t>
      </w:r>
    </w:p>
    <w:p w14:paraId="5A025C24">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（一）</w:t>
      </w:r>
      <w:r>
        <w:rPr>
          <w:rFonts w:hint="eastAsia" w:ascii="仿宋" w:hAnsi="仿宋" w:eastAsia="仿宋" w:cs="仿宋"/>
          <w:color w:val="auto"/>
          <w:sz w:val="28"/>
          <w:szCs w:val="28"/>
          <w:highlight w:val="none"/>
          <w:lang w:val="en-US"/>
        </w:rPr>
        <w:t>中选机构在比选截止日期后，在比选有效期内撤回比选或中选机构在收到中选通知书后，由于自身原因未能在约定的时间内与比选人进行合同谈判，其中选资格将被取消，并由备选机构接替。</w:t>
      </w:r>
    </w:p>
    <w:p w14:paraId="1A137A09">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w:t>
      </w:r>
      <w:r>
        <w:rPr>
          <w:rFonts w:hint="eastAsia" w:cs="仿宋"/>
          <w:color w:val="auto"/>
          <w:sz w:val="28"/>
          <w:szCs w:val="28"/>
          <w:highlight w:val="none"/>
          <w:lang w:val="en-US" w:eastAsia="zh-CN"/>
        </w:rPr>
        <w:t>二）</w:t>
      </w:r>
      <w:r>
        <w:rPr>
          <w:rFonts w:hint="eastAsia" w:ascii="仿宋" w:hAnsi="仿宋" w:eastAsia="仿宋" w:cs="仿宋"/>
          <w:color w:val="auto"/>
          <w:sz w:val="28"/>
          <w:szCs w:val="28"/>
          <w:highlight w:val="none"/>
          <w:lang w:val="en-US"/>
        </w:rPr>
        <w:t>中选机构如存在不当行为（包括但不限于逾期完成工作任务、拒不整改、虽整改后仍不符合要求、违反保密义务、违反职业准则等），法院、管理人有权终止与其的服务合同，并由备选机构接替。</w:t>
      </w:r>
    </w:p>
    <w:p w14:paraId="0207C26F">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第六部分：</w:t>
      </w:r>
      <w:r>
        <w:rPr>
          <w:rFonts w:hint="eastAsia" w:ascii="仿宋" w:hAnsi="仿宋" w:eastAsia="仿宋" w:cs="仿宋"/>
          <w:b/>
          <w:bCs/>
          <w:color w:val="auto"/>
          <w:sz w:val="28"/>
          <w:szCs w:val="28"/>
          <w:highlight w:val="none"/>
          <w:lang w:val="en-US"/>
        </w:rPr>
        <w:t>比选文件</w:t>
      </w:r>
    </w:p>
    <w:p w14:paraId="713AD4FF">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（一）</w:t>
      </w:r>
      <w:r>
        <w:rPr>
          <w:rFonts w:hint="eastAsia" w:ascii="仿宋" w:hAnsi="仿宋" w:eastAsia="仿宋" w:cs="仿宋"/>
          <w:b/>
          <w:bCs/>
          <w:color w:val="auto"/>
          <w:sz w:val="28"/>
          <w:szCs w:val="28"/>
          <w:highlight w:val="none"/>
          <w:lang w:val="en-US"/>
        </w:rPr>
        <w:t>比选文件的组成</w:t>
      </w:r>
    </w:p>
    <w:p w14:paraId="137B87BD">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1、</w:t>
      </w:r>
      <w:r>
        <w:rPr>
          <w:rFonts w:hint="eastAsia" w:ascii="仿宋" w:hAnsi="仿宋" w:eastAsia="仿宋" w:cs="仿宋"/>
          <w:color w:val="auto"/>
          <w:sz w:val="28"/>
          <w:szCs w:val="28"/>
          <w:highlight w:val="none"/>
          <w:lang w:val="en-US"/>
        </w:rPr>
        <w:t>比选文件包括：比选公告、比选须知、比选规则、比选申请文件格式。</w:t>
      </w:r>
    </w:p>
    <w:p w14:paraId="5CEF848C">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2、</w:t>
      </w:r>
      <w:r>
        <w:rPr>
          <w:rFonts w:hint="eastAsia" w:ascii="仿宋" w:hAnsi="仿宋" w:eastAsia="仿宋" w:cs="仿宋"/>
          <w:color w:val="auto"/>
          <w:sz w:val="28"/>
          <w:szCs w:val="28"/>
          <w:highlight w:val="none"/>
          <w:lang w:val="en-US"/>
        </w:rPr>
        <w:t>除</w:t>
      </w:r>
      <w:r>
        <w:rPr>
          <w:rFonts w:hint="eastAsia" w:cs="仿宋"/>
          <w:color w:val="auto"/>
          <w:sz w:val="28"/>
          <w:szCs w:val="28"/>
          <w:highlight w:val="none"/>
          <w:lang w:val="en-US" w:eastAsia="zh-CN"/>
        </w:rPr>
        <w:t>1</w:t>
      </w:r>
      <w:r>
        <w:rPr>
          <w:rFonts w:hint="eastAsia" w:ascii="仿宋" w:hAnsi="仿宋" w:eastAsia="仿宋" w:cs="仿宋"/>
          <w:color w:val="auto"/>
          <w:sz w:val="28"/>
          <w:szCs w:val="28"/>
          <w:highlight w:val="none"/>
          <w:lang w:val="en-US"/>
        </w:rPr>
        <w:t>条列明的内容外，参选人在提交比选申请文件前，比选人以书面形式发出的对比选文件的澄清或修改内容，均视为比选文件的组成部分。</w:t>
      </w:r>
    </w:p>
    <w:p w14:paraId="5EBC8EC6">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3、</w:t>
      </w:r>
      <w:r>
        <w:rPr>
          <w:rFonts w:hint="eastAsia" w:ascii="仿宋" w:hAnsi="仿宋" w:eastAsia="仿宋" w:cs="仿宋"/>
          <w:color w:val="auto"/>
          <w:sz w:val="28"/>
          <w:szCs w:val="28"/>
          <w:highlight w:val="none"/>
          <w:lang w:val="en-US"/>
        </w:rPr>
        <w:t>参选人收到比选文件时，应检查页数。参选人发现任何页数的遗缺、任何数字或词汇模糊不清、任何词义含混或意义不清，应通知比选人补全或澄清。参选人应认真审阅比选文件中所有的比选须知及比选规则，如果参选人编制的比选申请文件不符合规定的要求，其比选申请文件将被视为不合格的比选申请文件。</w:t>
      </w:r>
    </w:p>
    <w:p w14:paraId="0A2960D0">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4、</w:t>
      </w:r>
      <w:r>
        <w:rPr>
          <w:rFonts w:hint="eastAsia" w:ascii="仿宋" w:hAnsi="仿宋" w:eastAsia="仿宋" w:cs="仿宋"/>
          <w:color w:val="auto"/>
          <w:sz w:val="28"/>
          <w:szCs w:val="28"/>
          <w:highlight w:val="none"/>
          <w:lang w:val="en-US"/>
        </w:rPr>
        <w:t>比选文件及补充资料前后有矛盾的，以时间在后的为准。</w:t>
      </w:r>
    </w:p>
    <w:p w14:paraId="752640C7">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（二）</w:t>
      </w:r>
      <w:r>
        <w:rPr>
          <w:rFonts w:hint="eastAsia" w:ascii="仿宋" w:hAnsi="仿宋" w:eastAsia="仿宋" w:cs="仿宋"/>
          <w:b/>
          <w:bCs/>
          <w:color w:val="auto"/>
          <w:sz w:val="28"/>
          <w:szCs w:val="28"/>
          <w:highlight w:val="none"/>
          <w:lang w:val="en-US"/>
        </w:rPr>
        <w:t>比选文件的澄清</w:t>
      </w:r>
    </w:p>
    <w:p w14:paraId="32853ED6">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1、</w:t>
      </w:r>
      <w:r>
        <w:rPr>
          <w:rFonts w:hint="eastAsia" w:ascii="仿宋" w:hAnsi="仿宋" w:eastAsia="仿宋" w:cs="仿宋"/>
          <w:color w:val="auto"/>
          <w:sz w:val="28"/>
          <w:szCs w:val="28"/>
          <w:highlight w:val="none"/>
          <w:lang w:val="en-US"/>
        </w:rPr>
        <w:t>任何要求对比选文件提出澄清的参选人，应以书面或传真形式（须加盖公章）提出。</w:t>
      </w:r>
    </w:p>
    <w:p w14:paraId="27BCD1EF">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2、</w:t>
      </w:r>
      <w:r>
        <w:rPr>
          <w:rFonts w:hint="eastAsia" w:ascii="仿宋" w:hAnsi="仿宋" w:eastAsia="仿宋" w:cs="仿宋"/>
          <w:color w:val="auto"/>
          <w:sz w:val="28"/>
          <w:szCs w:val="28"/>
          <w:highlight w:val="none"/>
          <w:lang w:val="en-US"/>
        </w:rPr>
        <w:t>本比选文件由比选人负责解释。</w:t>
      </w:r>
    </w:p>
    <w:p w14:paraId="294819F0">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（三）</w:t>
      </w:r>
      <w:r>
        <w:rPr>
          <w:rFonts w:hint="eastAsia" w:ascii="仿宋" w:hAnsi="仿宋" w:eastAsia="仿宋" w:cs="仿宋"/>
          <w:b/>
          <w:bCs/>
          <w:color w:val="auto"/>
          <w:sz w:val="28"/>
          <w:szCs w:val="28"/>
          <w:highlight w:val="none"/>
          <w:lang w:val="en-US"/>
        </w:rPr>
        <w:t>比选申请文件的编制</w:t>
      </w:r>
    </w:p>
    <w:p w14:paraId="3B383D99">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b w:val="0"/>
          <w:bCs w:val="0"/>
          <w:color w:val="auto"/>
          <w:sz w:val="28"/>
          <w:szCs w:val="28"/>
          <w:highlight w:val="none"/>
          <w:lang w:val="en-US"/>
        </w:rPr>
      </w:pPr>
      <w:r>
        <w:rPr>
          <w:rFonts w:hint="eastAsia" w:ascii="仿宋" w:hAnsi="仿宋" w:eastAsia="仿宋" w:cs="仿宋"/>
          <w:b w:val="0"/>
          <w:bCs w:val="0"/>
          <w:color w:val="auto"/>
          <w:sz w:val="28"/>
          <w:szCs w:val="28"/>
          <w:highlight w:val="none"/>
          <w:lang w:val="en-US"/>
        </w:rPr>
        <w:t>1、比选申请文件的语言</w:t>
      </w:r>
    </w:p>
    <w:p w14:paraId="1CFB1564">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比选申请文件及比选人与参选人之间与比选有关的函件和文件均应使用汉语言文字。</w:t>
      </w:r>
    </w:p>
    <w:p w14:paraId="1AFD104E">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b w:val="0"/>
          <w:bCs w:val="0"/>
          <w:color w:val="auto"/>
          <w:sz w:val="28"/>
          <w:szCs w:val="28"/>
          <w:highlight w:val="none"/>
          <w:lang w:val="en-US"/>
        </w:rPr>
      </w:pPr>
      <w:r>
        <w:rPr>
          <w:rFonts w:hint="eastAsia" w:ascii="仿宋" w:hAnsi="仿宋" w:eastAsia="仿宋" w:cs="仿宋"/>
          <w:b w:val="0"/>
          <w:bCs w:val="0"/>
          <w:color w:val="auto"/>
          <w:sz w:val="28"/>
          <w:szCs w:val="28"/>
          <w:highlight w:val="none"/>
          <w:lang w:val="en-US"/>
        </w:rPr>
        <w:t>2、比选申请文件的组成及填制要求</w:t>
      </w:r>
    </w:p>
    <w:p w14:paraId="2B1CD4E0">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（1）比选申请文件一式三份，正本一份，副本一份，电子文档一份；在每一份比选申请文件上要明确注明“正本”或“副本”字样，一旦正本和副本有差异，以正本为准；同时电子文档需发送至指定邮箱</w:t>
      </w:r>
      <w:r>
        <w:rPr>
          <w:rFonts w:hint="eastAsia" w:ascii="仿宋" w:hAnsi="仿宋" w:eastAsia="仿宋" w:cs="仿宋"/>
          <w:color w:val="auto"/>
          <w:sz w:val="28"/>
          <w:szCs w:val="28"/>
          <w:highlight w:val="none"/>
          <w:lang w:val="en-US" w:eastAsia="zh-CN"/>
        </w:rPr>
        <w:t>，邮箱号：245284901@qq.com</w:t>
      </w:r>
      <w:r>
        <w:rPr>
          <w:rFonts w:hint="eastAsia" w:ascii="仿宋" w:hAnsi="仿宋" w:eastAsia="仿宋" w:cs="仿宋"/>
          <w:color w:val="auto"/>
          <w:sz w:val="28"/>
          <w:szCs w:val="28"/>
          <w:highlight w:val="none"/>
          <w:lang w:val="en-US"/>
        </w:rPr>
        <w:t>。</w:t>
      </w:r>
    </w:p>
    <w:p w14:paraId="33BB8D95">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rPr>
        <w:t xml:space="preserve">（2）比选人的比选申请文件主要清单见附件 </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val="en-US"/>
        </w:rPr>
        <w:t>《比选申请文件格式》</w:t>
      </w:r>
      <w:r>
        <w:rPr>
          <w:rFonts w:hint="eastAsia" w:ascii="仿宋" w:hAnsi="仿宋" w:eastAsia="仿宋" w:cs="仿宋"/>
          <w:color w:val="auto"/>
          <w:sz w:val="28"/>
          <w:szCs w:val="28"/>
          <w:highlight w:val="none"/>
          <w:lang w:val="en-US" w:eastAsia="zh-CN"/>
        </w:rPr>
        <w:t>。</w:t>
      </w:r>
    </w:p>
    <w:p w14:paraId="4C28AE0C">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（3）比选申请文件的正、副本应用不褪色的墨水（墨粉）书写或打印、复印，并按比选文件要求，由法定代表人或委托代理人做相应的签字、加盖机构公章。</w:t>
      </w:r>
    </w:p>
    <w:p w14:paraId="7C69492F">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（4）除比选申请人对错处作必要修改外，比选申请文件中不许有加行、涂抹或改写。</w:t>
      </w:r>
    </w:p>
    <w:p w14:paraId="194DA0E9">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（5）无论比选结果如何，参选人的比选申请文件均不退回。</w:t>
      </w:r>
    </w:p>
    <w:p w14:paraId="337B062E">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lang w:val="en-US"/>
        </w:rPr>
        <w:t>3、</w:t>
      </w:r>
      <w:r>
        <w:rPr>
          <w:rFonts w:hint="eastAsia" w:ascii="仿宋" w:hAnsi="仿宋" w:eastAsia="仿宋" w:cs="仿宋"/>
          <w:b w:val="0"/>
          <w:bCs w:val="0"/>
          <w:color w:val="auto"/>
          <w:sz w:val="28"/>
          <w:szCs w:val="28"/>
          <w:highlight w:val="none"/>
        </w:rPr>
        <w:t>比选申请文件格式</w:t>
      </w:r>
    </w:p>
    <w:p w14:paraId="5D5BA2B5">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参选人提交的比选申请文件应当使用比选文件所提供的比选申请文件全部格式和顺序。</w:t>
      </w:r>
    </w:p>
    <w:p w14:paraId="1EAE963F">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第七部分：</w:t>
      </w:r>
      <w:r>
        <w:rPr>
          <w:rFonts w:hint="eastAsia" w:ascii="仿宋" w:hAnsi="仿宋" w:eastAsia="仿宋" w:cs="仿宋"/>
          <w:b/>
          <w:bCs/>
          <w:color w:val="auto"/>
          <w:sz w:val="28"/>
          <w:szCs w:val="28"/>
          <w:highlight w:val="none"/>
          <w:lang w:val="en-US"/>
        </w:rPr>
        <w:t>有关比选的特别说明</w:t>
      </w:r>
    </w:p>
    <w:p w14:paraId="0969A62C">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rPr>
      </w:pPr>
      <w:r>
        <w:rPr>
          <w:rFonts w:hint="eastAsia" w:cs="仿宋"/>
          <w:b/>
          <w:bCs/>
          <w:color w:val="auto"/>
          <w:sz w:val="28"/>
          <w:szCs w:val="28"/>
          <w:highlight w:val="none"/>
          <w:lang w:eastAsia="zh-CN"/>
        </w:rPr>
        <w:t>（</w:t>
      </w:r>
      <w:r>
        <w:rPr>
          <w:rFonts w:hint="eastAsia" w:cs="仿宋"/>
          <w:b/>
          <w:bCs/>
          <w:color w:val="auto"/>
          <w:sz w:val="28"/>
          <w:szCs w:val="28"/>
          <w:highlight w:val="none"/>
          <w:lang w:val="en-US" w:eastAsia="zh-CN"/>
        </w:rPr>
        <w:t>一</w:t>
      </w:r>
      <w:r>
        <w:rPr>
          <w:rFonts w:hint="eastAsia" w:cs="仿宋"/>
          <w:b/>
          <w:bCs/>
          <w:color w:val="auto"/>
          <w:sz w:val="28"/>
          <w:szCs w:val="28"/>
          <w:highlight w:val="none"/>
          <w:lang w:eastAsia="zh-CN"/>
        </w:rPr>
        <w:t>）</w:t>
      </w:r>
      <w:r>
        <w:rPr>
          <w:rFonts w:hint="eastAsia" w:ascii="仿宋" w:hAnsi="仿宋" w:eastAsia="仿宋" w:cs="仿宋"/>
          <w:b/>
          <w:bCs/>
          <w:color w:val="auto"/>
          <w:sz w:val="28"/>
          <w:szCs w:val="28"/>
          <w:highlight w:val="none"/>
        </w:rPr>
        <w:t>比选申请报价</w:t>
      </w:r>
    </w:p>
    <w:p w14:paraId="67B5F9FB">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cs="仿宋"/>
          <w:color w:val="auto"/>
          <w:sz w:val="28"/>
          <w:szCs w:val="28"/>
          <w:highlight w:val="none"/>
          <w:lang w:val="en-US" w:eastAsia="zh-CN"/>
        </w:rPr>
        <w:t>1、</w:t>
      </w:r>
      <w:r>
        <w:rPr>
          <w:rFonts w:hint="eastAsia" w:ascii="仿宋" w:hAnsi="仿宋" w:eastAsia="仿宋" w:cs="仿宋"/>
          <w:color w:val="auto"/>
          <w:sz w:val="28"/>
          <w:szCs w:val="28"/>
          <w:highlight w:val="none"/>
        </w:rPr>
        <w:t>参选人报价</w:t>
      </w:r>
      <w:r>
        <w:rPr>
          <w:rFonts w:hint="eastAsia" w:ascii="仿宋" w:hAnsi="仿宋" w:eastAsia="仿宋" w:cs="仿宋"/>
          <w:color w:val="auto"/>
          <w:sz w:val="28"/>
          <w:szCs w:val="28"/>
          <w:highlight w:val="none"/>
          <w:lang w:val="en-US" w:eastAsia="zh-CN"/>
        </w:rPr>
        <w:t>不超过最高限额</w:t>
      </w:r>
      <w:r>
        <w:rPr>
          <w:rFonts w:hint="eastAsia" w:ascii="仿宋" w:hAnsi="仿宋" w:eastAsia="仿宋" w:cs="仿宋"/>
          <w:color w:val="auto"/>
          <w:sz w:val="28"/>
          <w:szCs w:val="28"/>
          <w:highlight w:val="none"/>
        </w:rPr>
        <w:t>，超过</w:t>
      </w:r>
      <w:r>
        <w:rPr>
          <w:rFonts w:hint="eastAsia" w:ascii="仿宋" w:hAnsi="仿宋" w:eastAsia="仿宋" w:cs="仿宋"/>
          <w:color w:val="auto"/>
          <w:sz w:val="28"/>
          <w:szCs w:val="28"/>
          <w:highlight w:val="none"/>
          <w:lang w:val="en-US" w:eastAsia="zh-CN"/>
        </w:rPr>
        <w:t>最高限额</w:t>
      </w:r>
      <w:r>
        <w:rPr>
          <w:rFonts w:hint="eastAsia" w:ascii="仿宋" w:hAnsi="仿宋" w:eastAsia="仿宋" w:cs="仿宋"/>
          <w:color w:val="auto"/>
          <w:sz w:val="28"/>
          <w:szCs w:val="28"/>
          <w:highlight w:val="none"/>
        </w:rPr>
        <w:t>的报价为无效标价。</w:t>
      </w:r>
      <w:r>
        <w:rPr>
          <w:rFonts w:hint="eastAsia" w:ascii="仿宋" w:hAnsi="仿宋" w:eastAsia="仿宋" w:cs="仿宋"/>
          <w:color w:val="auto"/>
          <w:sz w:val="28"/>
          <w:szCs w:val="28"/>
          <w:highlight w:val="none"/>
          <w:lang w:val="en-US"/>
        </w:rPr>
        <w:t>参</w:t>
      </w:r>
      <w:r>
        <w:rPr>
          <w:rFonts w:hint="eastAsia" w:ascii="仿宋" w:hAnsi="仿宋" w:eastAsia="仿宋" w:cs="仿宋"/>
          <w:color w:val="auto"/>
          <w:sz w:val="28"/>
          <w:szCs w:val="28"/>
          <w:highlight w:val="none"/>
        </w:rPr>
        <w:t>选人应充分考虑服务期间各种情况和风险。</w:t>
      </w:r>
    </w:p>
    <w:p w14:paraId="06B4AC17">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cs="仿宋"/>
          <w:color w:val="auto"/>
          <w:sz w:val="28"/>
          <w:szCs w:val="28"/>
          <w:highlight w:val="none"/>
          <w:lang w:val="en-US" w:eastAsia="zh-CN"/>
        </w:rPr>
        <w:t>2、</w:t>
      </w:r>
      <w:r>
        <w:rPr>
          <w:rFonts w:hint="eastAsia" w:ascii="仿宋" w:hAnsi="仿宋" w:eastAsia="仿宋" w:cs="仿宋"/>
          <w:color w:val="auto"/>
          <w:sz w:val="28"/>
          <w:szCs w:val="28"/>
          <w:highlight w:val="none"/>
        </w:rPr>
        <w:t>参选人的比选报价应是比选文件所确定的服务范围内的全部工作内容的价格体现。</w:t>
      </w:r>
    </w:p>
    <w:p w14:paraId="0BAD34B9">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cs="仿宋"/>
          <w:color w:val="auto"/>
          <w:sz w:val="28"/>
          <w:szCs w:val="28"/>
          <w:highlight w:val="none"/>
          <w:lang w:val="en-US" w:eastAsia="zh-CN"/>
        </w:rPr>
        <w:t>3、</w:t>
      </w:r>
      <w:r>
        <w:rPr>
          <w:rFonts w:hint="eastAsia" w:ascii="仿宋" w:hAnsi="仿宋" w:eastAsia="仿宋" w:cs="仿宋"/>
          <w:color w:val="auto"/>
          <w:sz w:val="28"/>
          <w:szCs w:val="28"/>
          <w:highlight w:val="none"/>
        </w:rPr>
        <w:t>参选人的报价应是完成所有工作的费用</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包括但不限于人工费、差旅费、税费</w:t>
      </w:r>
      <w:r>
        <w:rPr>
          <w:rFonts w:hint="eastAsia" w:ascii="仿宋" w:hAnsi="仿宋" w:eastAsia="仿宋" w:cs="仿宋"/>
          <w:color w:val="auto"/>
          <w:sz w:val="28"/>
          <w:szCs w:val="28"/>
          <w:highlight w:val="none"/>
        </w:rPr>
        <w:t>。</w:t>
      </w:r>
    </w:p>
    <w:p w14:paraId="4EABF2BD">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rPr>
      </w:pPr>
      <w:r>
        <w:rPr>
          <w:rFonts w:hint="eastAsia" w:cs="仿宋"/>
          <w:b/>
          <w:bCs/>
          <w:color w:val="auto"/>
          <w:sz w:val="28"/>
          <w:szCs w:val="28"/>
          <w:highlight w:val="none"/>
          <w:lang w:eastAsia="zh-CN"/>
        </w:rPr>
        <w:t>（</w:t>
      </w:r>
      <w:r>
        <w:rPr>
          <w:rFonts w:hint="eastAsia" w:cs="仿宋"/>
          <w:b/>
          <w:bCs/>
          <w:color w:val="auto"/>
          <w:sz w:val="28"/>
          <w:szCs w:val="28"/>
          <w:highlight w:val="none"/>
          <w:lang w:val="en-US" w:eastAsia="zh-CN"/>
        </w:rPr>
        <w:t>二</w:t>
      </w:r>
      <w:r>
        <w:rPr>
          <w:rFonts w:hint="eastAsia" w:cs="仿宋"/>
          <w:b/>
          <w:bCs/>
          <w:color w:val="auto"/>
          <w:sz w:val="28"/>
          <w:szCs w:val="28"/>
          <w:highlight w:val="none"/>
          <w:lang w:eastAsia="zh-CN"/>
        </w:rPr>
        <w:t>）</w:t>
      </w:r>
      <w:r>
        <w:rPr>
          <w:rFonts w:hint="eastAsia" w:ascii="仿宋" w:hAnsi="仿宋" w:eastAsia="仿宋" w:cs="仿宋"/>
          <w:b/>
          <w:bCs/>
          <w:color w:val="auto"/>
          <w:sz w:val="28"/>
          <w:szCs w:val="28"/>
          <w:highlight w:val="none"/>
        </w:rPr>
        <w:t>比选货币</w:t>
      </w:r>
    </w:p>
    <w:p w14:paraId="362A9E73">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比选报价采用的币种为人民币。</w:t>
      </w:r>
    </w:p>
    <w:p w14:paraId="717D11EC">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rPr>
      </w:pPr>
      <w:r>
        <w:rPr>
          <w:rFonts w:hint="eastAsia" w:cs="仿宋"/>
          <w:b/>
          <w:bCs/>
          <w:color w:val="auto"/>
          <w:sz w:val="28"/>
          <w:szCs w:val="28"/>
          <w:highlight w:val="none"/>
          <w:lang w:eastAsia="zh-CN"/>
        </w:rPr>
        <w:t>（</w:t>
      </w:r>
      <w:r>
        <w:rPr>
          <w:rFonts w:hint="eastAsia" w:cs="仿宋"/>
          <w:b/>
          <w:bCs/>
          <w:color w:val="auto"/>
          <w:sz w:val="28"/>
          <w:szCs w:val="28"/>
          <w:highlight w:val="none"/>
          <w:lang w:val="en-US" w:eastAsia="zh-CN"/>
        </w:rPr>
        <w:t>三</w:t>
      </w:r>
      <w:r>
        <w:rPr>
          <w:rFonts w:hint="eastAsia" w:cs="仿宋"/>
          <w:b/>
          <w:bCs/>
          <w:color w:val="auto"/>
          <w:sz w:val="28"/>
          <w:szCs w:val="28"/>
          <w:highlight w:val="none"/>
          <w:lang w:eastAsia="zh-CN"/>
        </w:rPr>
        <w:t>）</w:t>
      </w:r>
      <w:r>
        <w:rPr>
          <w:rFonts w:hint="eastAsia" w:ascii="仿宋" w:hAnsi="仿宋" w:eastAsia="仿宋" w:cs="仿宋"/>
          <w:b/>
          <w:bCs/>
          <w:color w:val="auto"/>
          <w:sz w:val="28"/>
          <w:szCs w:val="28"/>
          <w:highlight w:val="none"/>
        </w:rPr>
        <w:t>比选有效期</w:t>
      </w:r>
    </w:p>
    <w:p w14:paraId="40E664D1">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比选文件在比选申请文件递交后60日内有效。</w:t>
      </w:r>
    </w:p>
    <w:p w14:paraId="49B9AF85">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rPr>
      </w:pPr>
      <w:r>
        <w:rPr>
          <w:rFonts w:hint="eastAsia" w:cs="仿宋"/>
          <w:b/>
          <w:bCs/>
          <w:color w:val="auto"/>
          <w:sz w:val="28"/>
          <w:szCs w:val="28"/>
          <w:highlight w:val="none"/>
          <w:lang w:eastAsia="zh-CN"/>
        </w:rPr>
        <w:t>（</w:t>
      </w:r>
      <w:r>
        <w:rPr>
          <w:rFonts w:hint="eastAsia" w:cs="仿宋"/>
          <w:b/>
          <w:bCs/>
          <w:color w:val="auto"/>
          <w:sz w:val="28"/>
          <w:szCs w:val="28"/>
          <w:highlight w:val="none"/>
          <w:lang w:val="en-US" w:eastAsia="zh-CN"/>
        </w:rPr>
        <w:t>四</w:t>
      </w:r>
      <w:r>
        <w:rPr>
          <w:rFonts w:hint="eastAsia" w:cs="仿宋"/>
          <w:b/>
          <w:bCs/>
          <w:color w:val="auto"/>
          <w:sz w:val="28"/>
          <w:szCs w:val="28"/>
          <w:highlight w:val="none"/>
          <w:lang w:eastAsia="zh-CN"/>
        </w:rPr>
        <w:t>）</w:t>
      </w:r>
      <w:r>
        <w:rPr>
          <w:rFonts w:hint="eastAsia" w:ascii="仿宋" w:hAnsi="仿宋" w:eastAsia="仿宋" w:cs="仿宋"/>
          <w:b/>
          <w:bCs/>
          <w:color w:val="auto"/>
          <w:sz w:val="28"/>
          <w:szCs w:val="28"/>
          <w:highlight w:val="none"/>
        </w:rPr>
        <w:t>比选保证金</w:t>
      </w:r>
    </w:p>
    <w:p w14:paraId="674DC80F">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无</w:t>
      </w:r>
    </w:p>
    <w:p w14:paraId="766A5944">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第八部分：</w:t>
      </w:r>
      <w:r>
        <w:rPr>
          <w:rFonts w:hint="eastAsia" w:ascii="仿宋" w:hAnsi="仿宋" w:eastAsia="仿宋" w:cs="仿宋"/>
          <w:b/>
          <w:bCs/>
          <w:color w:val="auto"/>
          <w:sz w:val="28"/>
          <w:szCs w:val="28"/>
          <w:highlight w:val="none"/>
          <w:lang w:val="en-US"/>
        </w:rPr>
        <w:t>比选申请文件的提交</w:t>
      </w:r>
    </w:p>
    <w:p w14:paraId="72C4B727">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rPr>
      </w:pPr>
      <w:r>
        <w:rPr>
          <w:rFonts w:hint="eastAsia" w:cs="仿宋"/>
          <w:b/>
          <w:bCs/>
          <w:color w:val="auto"/>
          <w:sz w:val="28"/>
          <w:szCs w:val="28"/>
          <w:highlight w:val="none"/>
          <w:lang w:eastAsia="zh-CN"/>
        </w:rPr>
        <w:t>（</w:t>
      </w:r>
      <w:r>
        <w:rPr>
          <w:rFonts w:hint="eastAsia" w:cs="仿宋"/>
          <w:b/>
          <w:bCs/>
          <w:color w:val="auto"/>
          <w:sz w:val="28"/>
          <w:szCs w:val="28"/>
          <w:highlight w:val="none"/>
          <w:lang w:val="en-US" w:eastAsia="zh-CN"/>
        </w:rPr>
        <w:t>一</w:t>
      </w:r>
      <w:r>
        <w:rPr>
          <w:rFonts w:hint="eastAsia" w:cs="仿宋"/>
          <w:b/>
          <w:bCs/>
          <w:color w:val="auto"/>
          <w:sz w:val="28"/>
          <w:szCs w:val="28"/>
          <w:highlight w:val="none"/>
          <w:lang w:eastAsia="zh-CN"/>
        </w:rPr>
        <w:t>）</w:t>
      </w:r>
      <w:r>
        <w:rPr>
          <w:rFonts w:hint="eastAsia" w:ascii="仿宋" w:hAnsi="仿宋" w:eastAsia="仿宋" w:cs="仿宋"/>
          <w:b/>
          <w:bCs/>
          <w:color w:val="auto"/>
          <w:sz w:val="28"/>
          <w:szCs w:val="28"/>
          <w:highlight w:val="none"/>
        </w:rPr>
        <w:t>比选申请文件的密封</w:t>
      </w:r>
    </w:p>
    <w:p w14:paraId="700409D0">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参选人应按</w:t>
      </w:r>
      <w:r>
        <w:rPr>
          <w:rFonts w:hint="eastAsia" w:ascii="仿宋" w:hAnsi="仿宋" w:eastAsia="仿宋" w:cs="仿宋"/>
          <w:color w:val="auto"/>
          <w:sz w:val="28"/>
          <w:szCs w:val="28"/>
          <w:lang w:val="en-US" w:eastAsia="zh-CN"/>
        </w:rPr>
        <w:t>“参选机构名称—审计机构比选申请文件—日期”</w:t>
      </w:r>
      <w:r>
        <w:rPr>
          <w:rFonts w:hint="eastAsia" w:ascii="仿宋" w:hAnsi="仿宋" w:eastAsia="仿宋" w:cs="仿宋"/>
          <w:color w:val="auto"/>
          <w:sz w:val="28"/>
          <w:szCs w:val="28"/>
          <w:highlight w:val="none"/>
        </w:rPr>
        <w:t>命名。</w:t>
      </w:r>
    </w:p>
    <w:p w14:paraId="7F579AC1">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rPr>
      </w:pPr>
      <w:r>
        <w:rPr>
          <w:rFonts w:hint="eastAsia" w:cs="仿宋"/>
          <w:b/>
          <w:bCs/>
          <w:color w:val="auto"/>
          <w:sz w:val="28"/>
          <w:szCs w:val="28"/>
          <w:highlight w:val="none"/>
          <w:lang w:eastAsia="zh-CN"/>
        </w:rPr>
        <w:t>（</w:t>
      </w:r>
      <w:r>
        <w:rPr>
          <w:rFonts w:hint="eastAsia" w:cs="仿宋"/>
          <w:b/>
          <w:bCs/>
          <w:color w:val="auto"/>
          <w:sz w:val="28"/>
          <w:szCs w:val="28"/>
          <w:highlight w:val="none"/>
          <w:lang w:val="en-US" w:eastAsia="zh-CN"/>
        </w:rPr>
        <w:t>二</w:t>
      </w:r>
      <w:r>
        <w:rPr>
          <w:rFonts w:hint="eastAsia" w:cs="仿宋"/>
          <w:b/>
          <w:bCs/>
          <w:color w:val="auto"/>
          <w:sz w:val="28"/>
          <w:szCs w:val="28"/>
          <w:highlight w:val="none"/>
          <w:lang w:eastAsia="zh-CN"/>
        </w:rPr>
        <w:t>）</w:t>
      </w:r>
      <w:r>
        <w:rPr>
          <w:rFonts w:hint="eastAsia" w:ascii="仿宋" w:hAnsi="仿宋" w:eastAsia="仿宋" w:cs="仿宋"/>
          <w:b/>
          <w:bCs/>
          <w:color w:val="auto"/>
          <w:sz w:val="28"/>
          <w:szCs w:val="28"/>
          <w:highlight w:val="none"/>
        </w:rPr>
        <w:t>比选申请文件的递交和截止时间</w:t>
      </w:r>
    </w:p>
    <w:p w14:paraId="2BE8D76F">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cs="仿宋"/>
          <w:color w:val="auto"/>
          <w:sz w:val="28"/>
          <w:szCs w:val="28"/>
          <w:highlight w:val="none"/>
          <w:lang w:val="en-US" w:eastAsia="zh-CN"/>
        </w:rPr>
        <w:t>1、</w:t>
      </w:r>
      <w:r>
        <w:rPr>
          <w:rFonts w:hint="eastAsia" w:ascii="仿宋" w:hAnsi="仿宋" w:eastAsia="仿宋" w:cs="仿宋"/>
          <w:color w:val="auto"/>
          <w:sz w:val="28"/>
          <w:szCs w:val="28"/>
          <w:highlight w:val="none"/>
        </w:rPr>
        <w:t>比选申请文件递交的截止时间见比选公告的规定。</w:t>
      </w:r>
    </w:p>
    <w:p w14:paraId="3B5D68FB">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cs="仿宋"/>
          <w:color w:val="auto"/>
          <w:sz w:val="28"/>
          <w:szCs w:val="28"/>
          <w:highlight w:val="none"/>
          <w:lang w:val="en-US" w:eastAsia="zh-CN"/>
        </w:rPr>
        <w:t>2、</w:t>
      </w:r>
      <w:r>
        <w:rPr>
          <w:rFonts w:hint="eastAsia" w:ascii="仿宋" w:hAnsi="仿宋" w:eastAsia="仿宋" w:cs="仿宋"/>
          <w:color w:val="auto"/>
          <w:sz w:val="28"/>
          <w:szCs w:val="28"/>
          <w:highlight w:val="none"/>
        </w:rPr>
        <w:t>比选人可按照本规则的规定以补充通知的方式，酌情延长递交比选文件的截止时间。</w:t>
      </w:r>
    </w:p>
    <w:p w14:paraId="5FBA6ECD">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cs="仿宋"/>
          <w:color w:val="auto"/>
          <w:sz w:val="28"/>
          <w:szCs w:val="28"/>
          <w:highlight w:val="none"/>
          <w:lang w:val="en-US" w:eastAsia="zh-CN"/>
        </w:rPr>
        <w:t>3、</w:t>
      </w:r>
      <w:r>
        <w:rPr>
          <w:rFonts w:hint="eastAsia" w:ascii="仿宋" w:hAnsi="仿宋" w:eastAsia="仿宋" w:cs="仿宋"/>
          <w:color w:val="auto"/>
          <w:sz w:val="28"/>
          <w:szCs w:val="28"/>
          <w:highlight w:val="none"/>
        </w:rPr>
        <w:t>比选人将拒绝接受任何晚于递交比选申请文件截止时间递交的比选申请文件。</w:t>
      </w:r>
    </w:p>
    <w:p w14:paraId="74F00EB5">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cs="仿宋"/>
          <w:color w:val="auto"/>
          <w:sz w:val="28"/>
          <w:szCs w:val="28"/>
          <w:highlight w:val="none"/>
          <w:lang w:val="en-US" w:eastAsia="zh-CN"/>
        </w:rPr>
        <w:t>4、</w:t>
      </w:r>
      <w:r>
        <w:rPr>
          <w:rFonts w:hint="eastAsia" w:ascii="仿宋" w:hAnsi="仿宋" w:eastAsia="仿宋" w:cs="仿宋"/>
          <w:color w:val="auto"/>
          <w:sz w:val="28"/>
          <w:szCs w:val="28"/>
          <w:highlight w:val="none"/>
        </w:rPr>
        <w:t>比选人以收到比选申请文件邮件的时间为参选人提交比选申请文件的时间。</w:t>
      </w:r>
    </w:p>
    <w:p w14:paraId="7CB5A20E">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第九部分：</w:t>
      </w:r>
      <w:r>
        <w:rPr>
          <w:rFonts w:hint="eastAsia" w:ascii="仿宋" w:hAnsi="仿宋" w:eastAsia="仿宋" w:cs="仿宋"/>
          <w:b/>
          <w:bCs/>
          <w:color w:val="auto"/>
          <w:sz w:val="28"/>
          <w:szCs w:val="28"/>
          <w:highlight w:val="none"/>
          <w:lang w:val="en-US"/>
        </w:rPr>
        <w:t>评选</w:t>
      </w:r>
    </w:p>
    <w:p w14:paraId="0546E770">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（一）</w:t>
      </w:r>
      <w:r>
        <w:rPr>
          <w:rFonts w:hint="eastAsia" w:ascii="仿宋" w:hAnsi="仿宋" w:eastAsia="仿宋" w:cs="仿宋"/>
          <w:b/>
          <w:bCs/>
          <w:color w:val="auto"/>
          <w:sz w:val="28"/>
          <w:szCs w:val="28"/>
          <w:highlight w:val="none"/>
          <w:lang w:val="en-US"/>
        </w:rPr>
        <w:t>评选小组与评选</w:t>
      </w:r>
    </w:p>
    <w:p w14:paraId="291C0AC4">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1、</w:t>
      </w:r>
      <w:r>
        <w:rPr>
          <w:rFonts w:hint="eastAsia" w:ascii="仿宋" w:hAnsi="仿宋" w:eastAsia="仿宋" w:cs="仿宋"/>
          <w:color w:val="auto"/>
          <w:sz w:val="28"/>
          <w:szCs w:val="28"/>
          <w:highlight w:val="none"/>
          <w:lang w:val="en-US"/>
        </w:rPr>
        <w:t>评选小组由比选人自行组建，负责评选活动，可邀请债务人、债权人代表、法院工作人员</w:t>
      </w:r>
      <w:r>
        <w:rPr>
          <w:rFonts w:hint="eastAsia" w:ascii="仿宋" w:hAnsi="仿宋" w:eastAsia="仿宋" w:cs="仿宋"/>
          <w:color w:val="auto"/>
          <w:sz w:val="28"/>
          <w:szCs w:val="28"/>
          <w:highlight w:val="none"/>
          <w:lang w:val="en-US" w:eastAsia="zh-CN"/>
        </w:rPr>
        <w:t>、政府工作人员</w:t>
      </w:r>
      <w:r>
        <w:rPr>
          <w:rFonts w:hint="eastAsia" w:ascii="仿宋" w:hAnsi="仿宋" w:eastAsia="仿宋" w:cs="仿宋"/>
          <w:color w:val="auto"/>
          <w:sz w:val="28"/>
          <w:szCs w:val="28"/>
          <w:highlight w:val="none"/>
          <w:lang w:val="en-US"/>
        </w:rPr>
        <w:t>参与监督。</w:t>
      </w:r>
    </w:p>
    <w:p w14:paraId="52057096">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2、</w:t>
      </w:r>
      <w:r>
        <w:rPr>
          <w:rFonts w:hint="eastAsia" w:ascii="仿宋" w:hAnsi="仿宋" w:eastAsia="仿宋" w:cs="仿宋"/>
          <w:color w:val="auto"/>
          <w:sz w:val="28"/>
          <w:szCs w:val="28"/>
          <w:highlight w:val="none"/>
          <w:lang w:val="en-US"/>
        </w:rPr>
        <w:t>整个评选过程采用保密方式进行。</w:t>
      </w:r>
    </w:p>
    <w:p w14:paraId="15CFE82E">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（二）</w:t>
      </w:r>
      <w:r>
        <w:rPr>
          <w:rFonts w:hint="eastAsia" w:ascii="仿宋" w:hAnsi="仿宋" w:eastAsia="仿宋" w:cs="仿宋"/>
          <w:b/>
          <w:bCs/>
          <w:color w:val="auto"/>
          <w:sz w:val="28"/>
          <w:szCs w:val="28"/>
          <w:highlight w:val="none"/>
          <w:lang w:val="en-US"/>
        </w:rPr>
        <w:t>评选过程的注意事项</w:t>
      </w:r>
    </w:p>
    <w:p w14:paraId="56EF4919">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1、</w:t>
      </w:r>
      <w:r>
        <w:rPr>
          <w:rFonts w:hint="eastAsia" w:ascii="仿宋" w:hAnsi="仿宋" w:eastAsia="仿宋" w:cs="仿宋"/>
          <w:color w:val="auto"/>
          <w:sz w:val="28"/>
          <w:szCs w:val="28"/>
          <w:highlight w:val="none"/>
          <w:lang w:val="en-US"/>
        </w:rPr>
        <w:t>开选后，直至授予中选人合同为止，凡涉及对比选申请文件的审查、澄清、评价和比较的有关资料，以及其他与评选有关的任何情况均应严格保密。</w:t>
      </w:r>
    </w:p>
    <w:p w14:paraId="12D3CF52">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2、</w:t>
      </w:r>
      <w:r>
        <w:rPr>
          <w:rFonts w:hint="eastAsia" w:ascii="仿宋" w:hAnsi="仿宋" w:eastAsia="仿宋" w:cs="仿宋"/>
          <w:color w:val="auto"/>
          <w:sz w:val="28"/>
          <w:szCs w:val="28"/>
          <w:highlight w:val="none"/>
          <w:lang w:val="en-US"/>
        </w:rPr>
        <w:t>在比选申请文件的评审和比较以及授予合同的过程中，任何人向比选人和评选小组施加影响的任何行为，都将会导致其比选被拒绝。</w:t>
      </w:r>
    </w:p>
    <w:p w14:paraId="7F06B84C">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3、</w:t>
      </w:r>
      <w:r>
        <w:rPr>
          <w:rFonts w:hint="eastAsia" w:ascii="仿宋" w:hAnsi="仿宋" w:eastAsia="仿宋" w:cs="仿宋"/>
          <w:color w:val="auto"/>
          <w:sz w:val="28"/>
          <w:szCs w:val="28"/>
          <w:highlight w:val="none"/>
          <w:lang w:val="en-US"/>
        </w:rPr>
        <w:t>中选机构及备选机构确定后，比选人不对未中选人就评选过程以及未能中选原因作出任何解释。未中选人不得向评选小组组成人员或其它有关人员询问评选过程的情况和索取资料。</w:t>
      </w:r>
    </w:p>
    <w:p w14:paraId="0E299D91">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（三）</w:t>
      </w:r>
      <w:r>
        <w:rPr>
          <w:rFonts w:hint="eastAsia" w:ascii="仿宋" w:hAnsi="仿宋" w:eastAsia="仿宋" w:cs="仿宋"/>
          <w:b/>
          <w:bCs/>
          <w:color w:val="auto"/>
          <w:sz w:val="28"/>
          <w:szCs w:val="28"/>
          <w:highlight w:val="none"/>
          <w:lang w:val="en-US"/>
        </w:rPr>
        <w:t>比选申请文件的澄清</w:t>
      </w:r>
    </w:p>
    <w:p w14:paraId="70654397">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为了有助于比选申请文件的审查、评价和比较，评选小组有权要求参选人对比选申请文件中含义不明确的内容等问题作出澄清。澄清问题的答复将作为比选申请文件的组成部分。</w:t>
      </w:r>
    </w:p>
    <w:p w14:paraId="70A5C9D6">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（四）</w:t>
      </w:r>
      <w:r>
        <w:rPr>
          <w:rFonts w:hint="eastAsia" w:ascii="仿宋" w:hAnsi="仿宋" w:eastAsia="仿宋" w:cs="仿宋"/>
          <w:b/>
          <w:bCs/>
          <w:color w:val="auto"/>
          <w:sz w:val="28"/>
          <w:szCs w:val="28"/>
          <w:highlight w:val="none"/>
          <w:lang w:val="en-US"/>
        </w:rPr>
        <w:t>比选申请文件的初步审查</w:t>
      </w:r>
    </w:p>
    <w:p w14:paraId="45BC9164">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初评主要是对比选申请文件的形式审查，注重评审是否满足比选条件、材料是否齐备等程序性要件，只有通过形式审查的比选申请文件，才能进入下一阶段的评审。</w:t>
      </w:r>
    </w:p>
    <w:p w14:paraId="7779486C">
      <w:pPr>
        <w:keepNext w:val="0"/>
        <w:keepLines w:val="0"/>
        <w:pageBreakBefore w:val="0"/>
        <w:widowControl w:val="0"/>
        <w:kinsoku/>
        <w:wordWrap/>
        <w:overflowPunct/>
        <w:topLinePunct w:val="0"/>
        <w:autoSpaceDE w:val="0"/>
        <w:autoSpaceDN w:val="0"/>
        <w:bidi w:val="0"/>
        <w:adjustRightInd/>
        <w:snapToGrid/>
        <w:spacing w:line="580" w:lineRule="exact"/>
        <w:ind w:firstLine="562" w:firstLineChars="200"/>
        <w:jc w:val="both"/>
        <w:textAlignment w:val="auto"/>
        <w:rPr>
          <w:rFonts w:hint="eastAsia" w:ascii="仿宋" w:hAnsi="仿宋" w:eastAsia="仿宋" w:cs="仿宋"/>
          <w:b/>
          <w:bCs/>
          <w:color w:val="auto"/>
          <w:sz w:val="28"/>
          <w:szCs w:val="28"/>
          <w:highlight w:val="none"/>
          <w:lang w:val="en-US"/>
        </w:rPr>
      </w:pPr>
      <w:r>
        <w:rPr>
          <w:rFonts w:hint="eastAsia" w:cs="仿宋"/>
          <w:b/>
          <w:bCs/>
          <w:color w:val="auto"/>
          <w:sz w:val="28"/>
          <w:szCs w:val="28"/>
          <w:highlight w:val="none"/>
          <w:lang w:val="en-US" w:eastAsia="zh-CN"/>
        </w:rPr>
        <w:t>（五）</w:t>
      </w:r>
      <w:r>
        <w:rPr>
          <w:rFonts w:hint="eastAsia" w:ascii="仿宋" w:hAnsi="仿宋" w:eastAsia="仿宋" w:cs="仿宋"/>
          <w:b/>
          <w:bCs/>
          <w:color w:val="auto"/>
          <w:sz w:val="28"/>
          <w:szCs w:val="28"/>
          <w:highlight w:val="none"/>
          <w:lang w:val="en-US"/>
        </w:rPr>
        <w:t>评选方法和标准</w:t>
      </w:r>
    </w:p>
    <w:p w14:paraId="648A7A3A">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1、</w:t>
      </w:r>
      <w:r>
        <w:rPr>
          <w:rFonts w:hint="eastAsia" w:ascii="仿宋" w:hAnsi="仿宋" w:eastAsia="仿宋" w:cs="仿宋"/>
          <w:color w:val="auto"/>
          <w:sz w:val="28"/>
          <w:szCs w:val="28"/>
          <w:highlight w:val="none"/>
          <w:lang w:val="en-US"/>
        </w:rPr>
        <w:t>本项目采用综合评审法进行评选</w:t>
      </w:r>
    </w:p>
    <w:p w14:paraId="197703BB">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评选分为形式审查、详细评审两部分。只有通过形式审查的参选人才能进入详细评审的综合评审。</w:t>
      </w:r>
    </w:p>
    <w:p w14:paraId="367E7462">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本项目评选以百分制计分，评选人员对各项目逐项评定计分，满分100分。评选工作由比选人组织进行。本次评选小组成员人数由</w:t>
      </w:r>
      <w:r>
        <w:rPr>
          <w:rFonts w:hint="eastAsia" w:cs="仿宋"/>
          <w:color w:val="auto"/>
          <w:sz w:val="28"/>
          <w:szCs w:val="28"/>
          <w:highlight w:val="none"/>
          <w:lang w:val="en-US" w:eastAsia="zh-CN"/>
        </w:rPr>
        <w:t>5</w:t>
      </w:r>
      <w:r>
        <w:rPr>
          <w:rFonts w:hint="eastAsia" w:ascii="仿宋" w:hAnsi="仿宋" w:eastAsia="仿宋" w:cs="仿宋"/>
          <w:color w:val="auto"/>
          <w:sz w:val="28"/>
          <w:szCs w:val="28"/>
          <w:highlight w:val="none"/>
          <w:lang w:val="en-US"/>
        </w:rPr>
        <w:t>人以上（含</w:t>
      </w:r>
      <w:r>
        <w:rPr>
          <w:rFonts w:hint="eastAsia" w:cs="仿宋"/>
          <w:color w:val="auto"/>
          <w:sz w:val="28"/>
          <w:szCs w:val="28"/>
          <w:highlight w:val="none"/>
          <w:lang w:val="en-US" w:eastAsia="zh-CN"/>
        </w:rPr>
        <w:t>5</w:t>
      </w:r>
      <w:r>
        <w:rPr>
          <w:rFonts w:hint="eastAsia" w:ascii="仿宋" w:hAnsi="仿宋" w:eastAsia="仿宋" w:cs="仿宋"/>
          <w:color w:val="auto"/>
          <w:sz w:val="28"/>
          <w:szCs w:val="28"/>
          <w:highlight w:val="none"/>
          <w:lang w:val="en-US"/>
        </w:rPr>
        <w:t>人）组成，评选小组组长由评选小组成员推举产生，主持整个评选工作，与评选小组其他成员有同等的表决权。</w:t>
      </w:r>
    </w:p>
    <w:p w14:paraId="6A21FE3A">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2、</w:t>
      </w:r>
      <w:r>
        <w:rPr>
          <w:rFonts w:hint="eastAsia" w:ascii="仿宋" w:hAnsi="仿宋" w:eastAsia="仿宋" w:cs="仿宋"/>
          <w:color w:val="auto"/>
          <w:sz w:val="28"/>
          <w:szCs w:val="28"/>
          <w:highlight w:val="none"/>
          <w:lang w:val="en-US"/>
        </w:rPr>
        <w:t>本项目评选结果的确定</w:t>
      </w:r>
    </w:p>
    <w:p w14:paraId="235201A9">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根据评选组的评审结果，综合得分第一名的为中选机构，第二名为备选机构。</w:t>
      </w:r>
    </w:p>
    <w:p w14:paraId="1304A502">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A.</w:t>
      </w:r>
      <w:r>
        <w:rPr>
          <w:rFonts w:hint="eastAsia" w:ascii="仿宋" w:hAnsi="仿宋" w:eastAsia="仿宋" w:cs="仿宋"/>
          <w:color w:val="auto"/>
          <w:sz w:val="28"/>
          <w:szCs w:val="28"/>
          <w:highlight w:val="none"/>
        </w:rPr>
        <w:t>形式审查标准</w:t>
      </w:r>
    </w:p>
    <w:tbl>
      <w:tblPr>
        <w:tblStyle w:val="9"/>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61"/>
        <w:gridCol w:w="5583"/>
        <w:gridCol w:w="2307"/>
      </w:tblGrid>
      <w:tr w14:paraId="7F5835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5132997C">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序号</w:t>
            </w:r>
          </w:p>
        </w:tc>
        <w:tc>
          <w:tcPr>
            <w:tcW w:w="3153" w:type="pct"/>
            <w:vAlign w:val="center"/>
          </w:tcPr>
          <w:p w14:paraId="04B9E3B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审查内容</w:t>
            </w:r>
          </w:p>
        </w:tc>
        <w:tc>
          <w:tcPr>
            <w:tcW w:w="1303" w:type="pct"/>
            <w:vAlign w:val="center"/>
          </w:tcPr>
          <w:p w14:paraId="0275D8D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是否满足要求</w:t>
            </w:r>
          </w:p>
        </w:tc>
      </w:tr>
      <w:tr w14:paraId="08E34E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43" w:type="pct"/>
            <w:vAlign w:val="center"/>
          </w:tcPr>
          <w:p w14:paraId="126B0B4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p>
        </w:tc>
        <w:tc>
          <w:tcPr>
            <w:tcW w:w="3153" w:type="pct"/>
            <w:vAlign w:val="center"/>
          </w:tcPr>
          <w:p w14:paraId="011D32F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营业执照合法有效</w:t>
            </w:r>
          </w:p>
        </w:tc>
        <w:tc>
          <w:tcPr>
            <w:tcW w:w="1303" w:type="pct"/>
            <w:vAlign w:val="center"/>
          </w:tcPr>
          <w:p w14:paraId="2640530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p>
        </w:tc>
      </w:tr>
      <w:tr w14:paraId="0C9D1D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76F79FF4">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p>
        </w:tc>
        <w:tc>
          <w:tcPr>
            <w:tcW w:w="3153" w:type="pct"/>
            <w:vAlign w:val="center"/>
          </w:tcPr>
          <w:p w14:paraId="40C2652F">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参选人资质是否满足要求</w:t>
            </w:r>
          </w:p>
        </w:tc>
        <w:tc>
          <w:tcPr>
            <w:tcW w:w="1303" w:type="pct"/>
            <w:vAlign w:val="center"/>
          </w:tcPr>
          <w:p w14:paraId="210A245F">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p>
        </w:tc>
      </w:tr>
      <w:tr w14:paraId="242826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jc w:val="center"/>
        </w:trPr>
        <w:tc>
          <w:tcPr>
            <w:tcW w:w="543" w:type="pct"/>
            <w:vAlign w:val="center"/>
          </w:tcPr>
          <w:p w14:paraId="13A4A19F">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p>
        </w:tc>
        <w:tc>
          <w:tcPr>
            <w:tcW w:w="3153" w:type="pct"/>
            <w:vAlign w:val="center"/>
          </w:tcPr>
          <w:p w14:paraId="354FBFE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项目负责人</w:t>
            </w:r>
          </w:p>
        </w:tc>
        <w:tc>
          <w:tcPr>
            <w:tcW w:w="1303" w:type="pct"/>
            <w:vAlign w:val="center"/>
          </w:tcPr>
          <w:p w14:paraId="1D997DA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p>
        </w:tc>
      </w:tr>
      <w:tr w14:paraId="558BF0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09B9E799">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w:t>
            </w:r>
          </w:p>
        </w:tc>
        <w:tc>
          <w:tcPr>
            <w:tcW w:w="3153" w:type="pct"/>
            <w:vAlign w:val="center"/>
          </w:tcPr>
          <w:p w14:paraId="699BC545">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比选申请文件盖章及签字的情况</w:t>
            </w:r>
          </w:p>
        </w:tc>
        <w:tc>
          <w:tcPr>
            <w:tcW w:w="1303" w:type="pct"/>
            <w:vAlign w:val="center"/>
          </w:tcPr>
          <w:p w14:paraId="223364D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p>
        </w:tc>
      </w:tr>
      <w:tr w14:paraId="4A486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7C327029">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w:t>
            </w:r>
          </w:p>
        </w:tc>
        <w:tc>
          <w:tcPr>
            <w:tcW w:w="3153" w:type="pct"/>
            <w:vAlign w:val="center"/>
          </w:tcPr>
          <w:p w14:paraId="7E578F7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授权书是否有效</w:t>
            </w:r>
          </w:p>
        </w:tc>
        <w:tc>
          <w:tcPr>
            <w:tcW w:w="1303" w:type="pct"/>
            <w:vAlign w:val="center"/>
          </w:tcPr>
          <w:p w14:paraId="1BDC3DC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p>
        </w:tc>
      </w:tr>
      <w:tr w14:paraId="1F0BA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58310768">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w:t>
            </w:r>
          </w:p>
        </w:tc>
        <w:tc>
          <w:tcPr>
            <w:tcW w:w="3153" w:type="pct"/>
            <w:vAlign w:val="center"/>
          </w:tcPr>
          <w:p w14:paraId="3E7F703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是否实质性响应比选文件</w:t>
            </w:r>
          </w:p>
        </w:tc>
        <w:tc>
          <w:tcPr>
            <w:tcW w:w="1303" w:type="pct"/>
            <w:vAlign w:val="center"/>
          </w:tcPr>
          <w:p w14:paraId="422F799A">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p>
        </w:tc>
      </w:tr>
      <w:tr w14:paraId="16F3A0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543" w:type="pct"/>
            <w:vAlign w:val="center"/>
          </w:tcPr>
          <w:p w14:paraId="78CF42B1">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7</w:t>
            </w:r>
          </w:p>
        </w:tc>
        <w:tc>
          <w:tcPr>
            <w:tcW w:w="3153" w:type="pct"/>
            <w:vAlign w:val="center"/>
          </w:tcPr>
          <w:p w14:paraId="575ECF5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结论</w:t>
            </w:r>
          </w:p>
        </w:tc>
        <w:tc>
          <w:tcPr>
            <w:tcW w:w="1303" w:type="pct"/>
            <w:vAlign w:val="center"/>
          </w:tcPr>
          <w:p w14:paraId="35F4001D">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p>
        </w:tc>
      </w:tr>
    </w:tbl>
    <w:p w14:paraId="572E41E1">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注：1、表格中打“√”表示满足，“×”表示不满足，结论填“通过”和“不通过”；２、有任意一个“×”，则结论“不通过”。</w:t>
      </w:r>
    </w:p>
    <w:p w14:paraId="542F97A2">
      <w:pPr>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br w:type="page"/>
      </w:r>
    </w:p>
    <w:p w14:paraId="6926AF9F">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rPr>
        <w:t>B.</w:t>
      </w:r>
      <w:r>
        <w:rPr>
          <w:rFonts w:hint="eastAsia" w:ascii="仿宋" w:hAnsi="仿宋" w:eastAsia="仿宋" w:cs="仿宋"/>
          <w:color w:val="auto"/>
          <w:sz w:val="28"/>
          <w:szCs w:val="28"/>
          <w:highlight w:val="none"/>
        </w:rPr>
        <w:t>评审标准、评分依据</w:t>
      </w:r>
    </w:p>
    <w:tbl>
      <w:tblPr>
        <w:tblStyle w:val="9"/>
        <w:tblW w:w="500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99"/>
        <w:gridCol w:w="1514"/>
        <w:gridCol w:w="5278"/>
        <w:gridCol w:w="1069"/>
      </w:tblGrid>
      <w:tr w14:paraId="1586F8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64" w:type="pct"/>
            <w:vAlign w:val="center"/>
          </w:tcPr>
          <w:p w14:paraId="1C5E331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序号</w:t>
            </w:r>
          </w:p>
        </w:tc>
        <w:tc>
          <w:tcPr>
            <w:tcW w:w="854" w:type="pct"/>
            <w:vAlign w:val="center"/>
          </w:tcPr>
          <w:p w14:paraId="3998B31F">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评审内容</w:t>
            </w:r>
          </w:p>
        </w:tc>
        <w:tc>
          <w:tcPr>
            <w:tcW w:w="2977" w:type="pct"/>
            <w:vAlign w:val="center"/>
          </w:tcPr>
          <w:p w14:paraId="4729064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评审标准</w:t>
            </w:r>
          </w:p>
        </w:tc>
        <w:tc>
          <w:tcPr>
            <w:tcW w:w="603" w:type="pct"/>
            <w:vAlign w:val="center"/>
          </w:tcPr>
          <w:p w14:paraId="30831BF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分值</w:t>
            </w:r>
          </w:p>
        </w:tc>
      </w:tr>
      <w:tr w14:paraId="4826CF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4" w:hRule="atLeast"/>
          <w:jc w:val="center"/>
        </w:trPr>
        <w:tc>
          <w:tcPr>
            <w:tcW w:w="564" w:type="pct"/>
            <w:vAlign w:val="center"/>
          </w:tcPr>
          <w:p w14:paraId="08336AD3">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p>
        </w:tc>
        <w:tc>
          <w:tcPr>
            <w:tcW w:w="854" w:type="pct"/>
            <w:vAlign w:val="center"/>
          </w:tcPr>
          <w:p w14:paraId="20474E0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报价</w:t>
            </w:r>
          </w:p>
        </w:tc>
        <w:tc>
          <w:tcPr>
            <w:tcW w:w="2977" w:type="pct"/>
            <w:vAlign w:val="center"/>
          </w:tcPr>
          <w:p w14:paraId="70DC100D">
            <w:pPr>
              <w:pStyle w:val="6"/>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参选人应充分考虑自身实力、信誉及市场情况进行自主报价，本报价应是全费用包干费报价。以有效报价中</w:t>
            </w:r>
            <w:r>
              <w:rPr>
                <w:rFonts w:hint="eastAsia" w:cs="仿宋"/>
                <w:color w:val="auto"/>
                <w:sz w:val="28"/>
                <w:szCs w:val="28"/>
                <w:highlight w:val="none"/>
                <w:lang w:val="en-US" w:eastAsia="zh-CN"/>
              </w:rPr>
              <w:t>平均值</w:t>
            </w:r>
            <w:r>
              <w:rPr>
                <w:rFonts w:hint="eastAsia" w:ascii="仿宋" w:hAnsi="仿宋" w:eastAsia="仿宋" w:cs="仿宋"/>
                <w:color w:val="auto"/>
                <w:sz w:val="28"/>
                <w:szCs w:val="28"/>
                <w:highlight w:val="none"/>
              </w:rPr>
              <w:t>作为基准值，</w:t>
            </w:r>
            <w:r>
              <w:rPr>
                <w:rFonts w:hint="eastAsia" w:ascii="仿宋" w:hAnsi="仿宋" w:eastAsia="仿宋" w:cs="仿宋"/>
                <w:color w:val="auto"/>
                <w:sz w:val="28"/>
                <w:szCs w:val="28"/>
                <w:highlight w:val="none"/>
                <w:lang w:val="en-US" w:eastAsia="zh-CN"/>
              </w:rPr>
              <w:t>其他</w:t>
            </w:r>
            <w:r>
              <w:rPr>
                <w:rFonts w:hint="eastAsia" w:cs="仿宋"/>
                <w:color w:val="auto"/>
                <w:sz w:val="28"/>
                <w:szCs w:val="28"/>
                <w:highlight w:val="none"/>
                <w:lang w:val="en-US" w:eastAsia="zh-CN"/>
              </w:rPr>
              <w:t>参选人</w:t>
            </w:r>
            <w:r>
              <w:rPr>
                <w:rFonts w:hint="eastAsia" w:ascii="仿宋" w:hAnsi="仿宋" w:eastAsia="仿宋" w:cs="仿宋"/>
                <w:color w:val="auto"/>
                <w:sz w:val="28"/>
                <w:szCs w:val="28"/>
                <w:highlight w:val="none"/>
                <w:lang w:val="en-US" w:eastAsia="zh-CN"/>
              </w:rPr>
              <w:t>的价格</w:t>
            </w:r>
            <w:r>
              <w:rPr>
                <w:rFonts w:hint="eastAsia" w:cs="仿宋"/>
                <w:color w:val="auto"/>
                <w:sz w:val="28"/>
                <w:szCs w:val="28"/>
                <w:highlight w:val="none"/>
                <w:lang w:val="en-US" w:eastAsia="zh-CN"/>
              </w:rPr>
              <w:t>每高于或每低于平均值的1%扣0.4分，不足1%的按1%扣分。</w:t>
            </w:r>
            <w:bookmarkStart w:id="3" w:name="_GoBack"/>
            <w:bookmarkEnd w:id="3"/>
          </w:p>
        </w:tc>
        <w:tc>
          <w:tcPr>
            <w:tcW w:w="603" w:type="pct"/>
            <w:vAlign w:val="center"/>
          </w:tcPr>
          <w:p w14:paraId="57E07A69">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25</w:t>
            </w:r>
            <w:r>
              <w:rPr>
                <w:rFonts w:hint="eastAsia" w:ascii="仿宋" w:hAnsi="仿宋" w:eastAsia="仿宋" w:cs="仿宋"/>
                <w:color w:val="auto"/>
                <w:sz w:val="28"/>
                <w:szCs w:val="28"/>
                <w:highlight w:val="none"/>
                <w:lang w:val="en-US"/>
              </w:rPr>
              <w:t>分</w:t>
            </w:r>
          </w:p>
        </w:tc>
      </w:tr>
      <w:tr w14:paraId="5B7DCB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64" w:type="pct"/>
            <w:vAlign w:val="center"/>
          </w:tcPr>
          <w:p w14:paraId="4BC2148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p>
        </w:tc>
        <w:tc>
          <w:tcPr>
            <w:tcW w:w="854" w:type="pct"/>
            <w:vAlign w:val="center"/>
          </w:tcPr>
          <w:p w14:paraId="49DBF8BE">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业绩</w:t>
            </w:r>
          </w:p>
        </w:tc>
        <w:tc>
          <w:tcPr>
            <w:tcW w:w="2977" w:type="pct"/>
            <w:vAlign w:val="center"/>
          </w:tcPr>
          <w:p w14:paraId="2628D471">
            <w:pPr>
              <w:pStyle w:val="6"/>
              <w:rPr>
                <w:rFonts w:hint="eastAsia" w:ascii="仿宋" w:hAnsi="仿宋" w:eastAsia="仿宋"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1</w:t>
            </w:r>
            <w:r>
              <w:rPr>
                <w:rFonts w:hint="eastAsia" w:cs="仿宋"/>
                <w:color w:val="auto"/>
                <w:sz w:val="28"/>
                <w:szCs w:val="28"/>
                <w:highlight w:val="none"/>
                <w:lang w:val="en-US" w:eastAsia="zh-CN" w:bidi="zh-CN"/>
              </w:rPr>
              <w:t>、参选人</w:t>
            </w:r>
            <w:r>
              <w:rPr>
                <w:rFonts w:hint="eastAsia" w:ascii="仿宋" w:hAnsi="仿宋" w:eastAsia="仿宋" w:cs="仿宋"/>
                <w:color w:val="auto"/>
                <w:sz w:val="28"/>
                <w:szCs w:val="28"/>
                <w:highlight w:val="none"/>
                <w:lang w:val="en-US" w:eastAsia="zh-CN" w:bidi="zh-CN"/>
              </w:rPr>
              <w:t>承接过企业破产案件审计工作的，每提供一项得2分</w:t>
            </w:r>
            <w:r>
              <w:rPr>
                <w:rFonts w:hint="eastAsia" w:cs="仿宋"/>
                <w:color w:val="auto"/>
                <w:sz w:val="28"/>
                <w:szCs w:val="28"/>
                <w:highlight w:val="none"/>
                <w:lang w:val="en-US" w:eastAsia="zh-CN" w:bidi="zh-CN"/>
              </w:rPr>
              <w:t>，本项得分最高不超过10分</w:t>
            </w:r>
            <w:r>
              <w:rPr>
                <w:rFonts w:hint="eastAsia" w:ascii="仿宋" w:hAnsi="仿宋" w:eastAsia="仿宋" w:cs="仿宋"/>
                <w:color w:val="auto"/>
                <w:sz w:val="28"/>
                <w:szCs w:val="28"/>
                <w:highlight w:val="none"/>
                <w:lang w:val="en-US" w:eastAsia="zh-CN" w:bidi="zh-CN"/>
              </w:rPr>
              <w:t>；</w:t>
            </w:r>
          </w:p>
          <w:p w14:paraId="7FED2295">
            <w:pPr>
              <w:pStyle w:val="6"/>
              <w:rPr>
                <w:rFonts w:hint="eastAsia"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2</w:t>
            </w:r>
            <w:r>
              <w:rPr>
                <w:rFonts w:hint="eastAsia" w:cs="仿宋"/>
                <w:color w:val="auto"/>
                <w:sz w:val="28"/>
                <w:szCs w:val="28"/>
                <w:highlight w:val="none"/>
                <w:lang w:val="en-US" w:eastAsia="zh-CN" w:bidi="zh-CN"/>
              </w:rPr>
              <w:t>、参选人</w:t>
            </w:r>
            <w:r>
              <w:rPr>
                <w:rFonts w:hint="eastAsia" w:ascii="仿宋" w:hAnsi="仿宋" w:eastAsia="仿宋" w:cs="仿宋"/>
                <w:color w:val="auto"/>
                <w:sz w:val="28"/>
                <w:szCs w:val="28"/>
                <w:highlight w:val="none"/>
                <w:lang w:val="en-US" w:eastAsia="zh-CN" w:bidi="zh-CN"/>
              </w:rPr>
              <w:t>承接过</w:t>
            </w:r>
            <w:r>
              <w:rPr>
                <w:rFonts w:hint="eastAsia" w:cs="仿宋"/>
                <w:color w:val="auto"/>
                <w:sz w:val="28"/>
                <w:szCs w:val="28"/>
                <w:highlight w:val="none"/>
                <w:lang w:val="en-US" w:eastAsia="zh-CN" w:bidi="zh-CN"/>
              </w:rPr>
              <w:t>建筑企业</w:t>
            </w:r>
            <w:r>
              <w:rPr>
                <w:rFonts w:hint="eastAsia" w:ascii="仿宋" w:hAnsi="仿宋" w:eastAsia="仿宋" w:cs="仿宋"/>
                <w:color w:val="auto"/>
                <w:sz w:val="28"/>
                <w:szCs w:val="28"/>
                <w:highlight w:val="none"/>
                <w:lang w:val="en-US" w:eastAsia="zh-CN" w:bidi="zh-CN"/>
              </w:rPr>
              <w:t>审计</w:t>
            </w:r>
            <w:r>
              <w:rPr>
                <w:rFonts w:hint="eastAsia" w:cs="仿宋"/>
                <w:color w:val="auto"/>
                <w:sz w:val="28"/>
                <w:szCs w:val="28"/>
                <w:highlight w:val="none"/>
                <w:lang w:val="en-US" w:eastAsia="zh-CN" w:bidi="zh-CN"/>
              </w:rPr>
              <w:t>工作</w:t>
            </w:r>
            <w:r>
              <w:rPr>
                <w:rFonts w:hint="eastAsia" w:ascii="仿宋" w:hAnsi="仿宋" w:eastAsia="仿宋" w:cs="仿宋"/>
                <w:color w:val="auto"/>
                <w:sz w:val="28"/>
                <w:szCs w:val="28"/>
                <w:highlight w:val="none"/>
                <w:lang w:val="en-US" w:eastAsia="zh-CN" w:bidi="zh-CN"/>
              </w:rPr>
              <w:t>的，每提供一项得2分</w:t>
            </w:r>
            <w:r>
              <w:rPr>
                <w:rFonts w:hint="eastAsia" w:cs="仿宋"/>
                <w:color w:val="auto"/>
                <w:sz w:val="28"/>
                <w:szCs w:val="28"/>
                <w:highlight w:val="none"/>
                <w:lang w:val="en-US" w:eastAsia="zh-CN" w:bidi="zh-CN"/>
              </w:rPr>
              <w:t>；</w:t>
            </w:r>
          </w:p>
          <w:p w14:paraId="552125A8">
            <w:pPr>
              <w:pStyle w:val="6"/>
              <w:rPr>
                <w:rFonts w:hint="default" w:cs="仿宋"/>
                <w:color w:val="auto"/>
                <w:sz w:val="28"/>
                <w:szCs w:val="28"/>
                <w:highlight w:val="none"/>
                <w:lang w:val="en-US" w:eastAsia="zh-CN" w:bidi="zh-CN"/>
              </w:rPr>
            </w:pPr>
            <w:r>
              <w:rPr>
                <w:rFonts w:hint="eastAsia" w:cs="仿宋"/>
                <w:color w:val="auto"/>
                <w:sz w:val="28"/>
                <w:szCs w:val="28"/>
                <w:highlight w:val="none"/>
                <w:lang w:val="en-US" w:eastAsia="zh-CN" w:bidi="zh-CN"/>
              </w:rPr>
              <w:t>3、参选人承接过建筑企业破产案件审计工作的，每提供一项得3分。</w:t>
            </w:r>
          </w:p>
          <w:p w14:paraId="5FF15BDA">
            <w:pPr>
              <w:pStyle w:val="6"/>
              <w:rPr>
                <w:rFonts w:hint="eastAsia" w:ascii="仿宋" w:hAnsi="仿宋" w:eastAsia="仿宋"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注：（1）以上案件经验中，单个案件按一项取高计分，不重复计算。</w:t>
            </w:r>
          </w:p>
          <w:p w14:paraId="15E6DE09">
            <w:pPr>
              <w:pStyle w:val="6"/>
              <w:rPr>
                <w:rFonts w:hint="eastAsia" w:ascii="仿宋" w:hAnsi="仿宋" w:eastAsia="仿宋"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（2）</w:t>
            </w:r>
            <w:r>
              <w:rPr>
                <w:rFonts w:hint="eastAsia" w:cs="仿宋"/>
                <w:color w:val="auto"/>
                <w:sz w:val="28"/>
                <w:szCs w:val="28"/>
                <w:highlight w:val="none"/>
                <w:lang w:val="en-US" w:eastAsia="zh-CN" w:bidi="zh-CN"/>
              </w:rPr>
              <w:t>总计</w:t>
            </w:r>
            <w:r>
              <w:rPr>
                <w:rFonts w:hint="eastAsia" w:ascii="仿宋" w:hAnsi="仿宋" w:eastAsia="仿宋" w:cs="仿宋"/>
                <w:color w:val="auto"/>
                <w:sz w:val="28"/>
                <w:szCs w:val="28"/>
                <w:highlight w:val="none"/>
                <w:lang w:val="en-US" w:eastAsia="zh-CN" w:bidi="zh-CN"/>
              </w:rPr>
              <w:t>得分最多不超过</w:t>
            </w:r>
            <w:r>
              <w:rPr>
                <w:rFonts w:hint="eastAsia" w:cs="仿宋"/>
                <w:color w:val="auto"/>
                <w:sz w:val="28"/>
                <w:szCs w:val="28"/>
                <w:highlight w:val="none"/>
                <w:lang w:val="en-US" w:eastAsia="zh-CN" w:bidi="zh-CN"/>
              </w:rPr>
              <w:t>2</w:t>
            </w:r>
            <w:r>
              <w:rPr>
                <w:rFonts w:hint="eastAsia" w:ascii="仿宋" w:hAnsi="仿宋" w:eastAsia="仿宋" w:cs="仿宋"/>
                <w:color w:val="auto"/>
                <w:sz w:val="28"/>
                <w:szCs w:val="28"/>
                <w:highlight w:val="none"/>
                <w:lang w:val="en-US" w:eastAsia="zh-CN" w:bidi="zh-CN"/>
              </w:rPr>
              <w:t>0分。</w:t>
            </w:r>
          </w:p>
          <w:p w14:paraId="62821750">
            <w:pPr>
              <w:pStyle w:val="6"/>
              <w:rPr>
                <w:rFonts w:hint="eastAsia" w:ascii="仿宋" w:hAnsi="仿宋" w:eastAsia="仿宋"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（3）提供中标/成交通知书或合同复印件加盖</w:t>
            </w:r>
            <w:r>
              <w:rPr>
                <w:rFonts w:hint="eastAsia" w:cs="仿宋"/>
                <w:color w:val="auto"/>
                <w:sz w:val="28"/>
                <w:szCs w:val="28"/>
                <w:highlight w:val="none"/>
                <w:lang w:val="en-US" w:eastAsia="zh-CN" w:bidi="zh-CN"/>
              </w:rPr>
              <w:t>参选人</w:t>
            </w:r>
            <w:r>
              <w:rPr>
                <w:rFonts w:hint="eastAsia" w:ascii="仿宋" w:hAnsi="仿宋" w:eastAsia="仿宋" w:cs="仿宋"/>
                <w:color w:val="auto"/>
                <w:sz w:val="28"/>
                <w:szCs w:val="28"/>
                <w:highlight w:val="none"/>
                <w:lang w:val="en-US" w:eastAsia="zh-CN" w:bidi="zh-CN"/>
              </w:rPr>
              <w:t>公（鲜）章。</w:t>
            </w:r>
          </w:p>
          <w:p w14:paraId="2BA196DC">
            <w:pPr>
              <w:pStyle w:val="6"/>
              <w:rPr>
                <w:rFonts w:hint="default" w:ascii="仿宋" w:hAnsi="仿宋" w:eastAsia="仿宋" w:cs="仿宋"/>
                <w:color w:val="auto"/>
                <w:sz w:val="28"/>
                <w:szCs w:val="28"/>
                <w:highlight w:val="none"/>
                <w:lang w:val="en-US" w:eastAsia="zh-CN" w:bidi="zh-CN"/>
              </w:rPr>
            </w:pPr>
            <w:r>
              <w:rPr>
                <w:rFonts w:hint="eastAsia" w:cs="仿宋"/>
                <w:color w:val="auto"/>
                <w:sz w:val="28"/>
                <w:szCs w:val="28"/>
                <w:highlight w:val="none"/>
                <w:lang w:val="en-US" w:eastAsia="zh-CN" w:bidi="zh-CN"/>
              </w:rPr>
              <w:t>（4）此处的建筑企业是指施工总承包单位。</w:t>
            </w:r>
          </w:p>
        </w:tc>
        <w:tc>
          <w:tcPr>
            <w:tcW w:w="603" w:type="pct"/>
            <w:vAlign w:val="center"/>
          </w:tcPr>
          <w:p w14:paraId="506BDB99">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cs="仿宋"/>
                <w:color w:val="auto"/>
                <w:sz w:val="28"/>
                <w:szCs w:val="28"/>
                <w:highlight w:val="none"/>
                <w:lang w:val="en-US" w:eastAsia="zh-CN"/>
              </w:rPr>
              <w:t>0</w:t>
            </w:r>
            <w:r>
              <w:rPr>
                <w:rFonts w:hint="eastAsia" w:ascii="仿宋" w:hAnsi="仿宋" w:eastAsia="仿宋" w:cs="仿宋"/>
                <w:color w:val="auto"/>
                <w:sz w:val="28"/>
                <w:szCs w:val="28"/>
                <w:highlight w:val="none"/>
              </w:rPr>
              <w:t>分</w:t>
            </w:r>
          </w:p>
        </w:tc>
      </w:tr>
      <w:tr w14:paraId="1665A4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64" w:type="pct"/>
            <w:vAlign w:val="center"/>
          </w:tcPr>
          <w:p w14:paraId="4E3C82E1">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p>
        </w:tc>
        <w:tc>
          <w:tcPr>
            <w:tcW w:w="854" w:type="pct"/>
            <w:vAlign w:val="center"/>
          </w:tcPr>
          <w:p w14:paraId="1A29A03C">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人员配置</w:t>
            </w:r>
          </w:p>
        </w:tc>
        <w:tc>
          <w:tcPr>
            <w:tcW w:w="2977" w:type="pct"/>
            <w:vAlign w:val="center"/>
          </w:tcPr>
          <w:p w14:paraId="40850ACB">
            <w:pPr>
              <w:pStyle w:val="6"/>
              <w:rPr>
                <w:rFonts w:hint="default" w:ascii="仿宋" w:hAnsi="仿宋" w:eastAsia="仿宋"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1</w:t>
            </w:r>
            <w:r>
              <w:rPr>
                <w:rFonts w:hint="eastAsia" w:cs="仿宋"/>
                <w:color w:val="auto"/>
                <w:sz w:val="28"/>
                <w:szCs w:val="28"/>
                <w:highlight w:val="none"/>
                <w:lang w:val="en-US" w:eastAsia="zh-CN" w:bidi="zh-CN"/>
              </w:rPr>
              <w:t>、参选人</w:t>
            </w:r>
            <w:r>
              <w:rPr>
                <w:rFonts w:hint="eastAsia" w:ascii="仿宋" w:hAnsi="仿宋" w:eastAsia="仿宋" w:cs="仿宋"/>
                <w:color w:val="auto"/>
                <w:sz w:val="28"/>
                <w:szCs w:val="28"/>
                <w:highlight w:val="none"/>
                <w:lang w:val="en-US" w:eastAsia="zh-CN" w:bidi="zh-CN"/>
              </w:rPr>
              <w:t>拟投入本项目人员中具有注册会计师资格5名的得5分，每增加1个得1分，本项最多得7分；（提供相关证明材料复印件并加盖公（鲜）章。）</w:t>
            </w:r>
            <w:r>
              <w:rPr>
                <w:rFonts w:hint="eastAsia" w:cs="仿宋"/>
                <w:color w:val="auto"/>
                <w:sz w:val="28"/>
                <w:szCs w:val="28"/>
                <w:highlight w:val="none"/>
                <w:lang w:val="en-US" w:eastAsia="zh-CN" w:bidi="zh-CN"/>
              </w:rPr>
              <w:t>具有注册会计师资格1-4名的得3分。没有注册会计师资格的人员配置不得分。</w:t>
            </w:r>
          </w:p>
          <w:p w14:paraId="447289DB">
            <w:pPr>
              <w:pStyle w:val="6"/>
              <w:rPr>
                <w:rFonts w:hint="eastAsia" w:ascii="仿宋" w:hAnsi="仿宋" w:eastAsia="仿宋" w:cs="仿宋"/>
                <w:color w:val="auto"/>
                <w:sz w:val="28"/>
                <w:szCs w:val="28"/>
                <w:highlight w:val="none"/>
                <w:lang w:val="en-US" w:eastAsia="zh-CN" w:bidi="zh-CN"/>
              </w:rPr>
            </w:pPr>
            <w:r>
              <w:rPr>
                <w:rFonts w:hint="eastAsia" w:ascii="仿宋" w:hAnsi="仿宋" w:eastAsia="仿宋" w:cs="仿宋"/>
                <w:color w:val="auto"/>
                <w:sz w:val="28"/>
                <w:szCs w:val="28"/>
                <w:highlight w:val="none"/>
                <w:lang w:val="en-US" w:eastAsia="zh-CN" w:bidi="zh-CN"/>
              </w:rPr>
              <w:t>2</w:t>
            </w:r>
            <w:r>
              <w:rPr>
                <w:rFonts w:hint="eastAsia" w:cs="仿宋"/>
                <w:color w:val="auto"/>
                <w:sz w:val="28"/>
                <w:szCs w:val="28"/>
                <w:highlight w:val="none"/>
                <w:lang w:val="en-US" w:eastAsia="zh-CN" w:bidi="zh-CN"/>
              </w:rPr>
              <w:t>、参选人提供的人员配置中</w:t>
            </w:r>
            <w:r>
              <w:rPr>
                <w:rFonts w:hint="eastAsia" w:ascii="仿宋" w:hAnsi="仿宋" w:eastAsia="仿宋" w:cs="仿宋"/>
                <w:color w:val="auto"/>
                <w:sz w:val="28"/>
                <w:szCs w:val="28"/>
                <w:highlight w:val="none"/>
                <w:lang w:val="en-US" w:eastAsia="zh-CN" w:bidi="zh-CN"/>
              </w:rPr>
              <w:t>注册会计师</w:t>
            </w:r>
            <w:r>
              <w:rPr>
                <w:rFonts w:hint="eastAsia" w:cs="仿宋"/>
                <w:color w:val="auto"/>
                <w:sz w:val="28"/>
                <w:szCs w:val="28"/>
                <w:highlight w:val="none"/>
                <w:lang w:val="en-US" w:eastAsia="zh-CN" w:bidi="zh-CN"/>
              </w:rPr>
              <w:t>且该注册会计师同时</w:t>
            </w:r>
            <w:r>
              <w:rPr>
                <w:rFonts w:hint="eastAsia" w:ascii="仿宋" w:hAnsi="仿宋" w:eastAsia="仿宋" w:cs="仿宋"/>
                <w:color w:val="auto"/>
                <w:sz w:val="28"/>
                <w:szCs w:val="28"/>
                <w:highlight w:val="none"/>
                <w:lang w:val="en-US" w:eastAsia="zh-CN" w:bidi="zh-CN"/>
              </w:rPr>
              <w:t>具有企业破产重整</w:t>
            </w:r>
            <w:r>
              <w:rPr>
                <w:rFonts w:hint="eastAsia" w:cs="仿宋"/>
                <w:color w:val="auto"/>
                <w:sz w:val="28"/>
                <w:szCs w:val="28"/>
                <w:highlight w:val="none"/>
                <w:lang w:val="en-US" w:eastAsia="zh-CN" w:bidi="zh-CN"/>
              </w:rPr>
              <w:t>、</w:t>
            </w:r>
            <w:r>
              <w:rPr>
                <w:rFonts w:hint="eastAsia" w:ascii="仿宋" w:hAnsi="仿宋" w:eastAsia="仿宋" w:cs="仿宋"/>
                <w:color w:val="auto"/>
                <w:sz w:val="28"/>
                <w:szCs w:val="28"/>
                <w:highlight w:val="none"/>
                <w:lang w:val="en-US" w:eastAsia="zh-CN" w:bidi="zh-CN"/>
              </w:rPr>
              <w:t>清算或强制清算案件的审计工作经验的，每有1个工作经验的得1分，本项最多得8分。（提供相关证明材料复印件并加盖供应商公（鲜）章，本项人员的工作经验不重复计分）</w:t>
            </w:r>
          </w:p>
        </w:tc>
        <w:tc>
          <w:tcPr>
            <w:tcW w:w="603" w:type="pct"/>
            <w:vAlign w:val="center"/>
          </w:tcPr>
          <w:p w14:paraId="508F9698">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cs="仿宋"/>
                <w:color w:val="auto"/>
                <w:sz w:val="28"/>
                <w:szCs w:val="28"/>
                <w:highlight w:val="none"/>
                <w:lang w:val="en-US" w:eastAsia="zh-CN"/>
              </w:rPr>
              <w:t>5</w:t>
            </w:r>
            <w:r>
              <w:rPr>
                <w:rFonts w:hint="eastAsia" w:ascii="仿宋" w:hAnsi="仿宋" w:eastAsia="仿宋" w:cs="仿宋"/>
                <w:color w:val="auto"/>
                <w:sz w:val="28"/>
                <w:szCs w:val="28"/>
                <w:highlight w:val="none"/>
              </w:rPr>
              <w:t>分</w:t>
            </w:r>
          </w:p>
        </w:tc>
      </w:tr>
      <w:tr w14:paraId="68FB57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64" w:type="pct"/>
            <w:vAlign w:val="center"/>
          </w:tcPr>
          <w:p w14:paraId="72118B1B">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4</w:t>
            </w:r>
          </w:p>
        </w:tc>
        <w:tc>
          <w:tcPr>
            <w:tcW w:w="854" w:type="pct"/>
            <w:vAlign w:val="center"/>
          </w:tcPr>
          <w:p w14:paraId="63725477">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承诺内容</w:t>
            </w:r>
          </w:p>
        </w:tc>
        <w:tc>
          <w:tcPr>
            <w:tcW w:w="2977" w:type="pct"/>
            <w:vAlign w:val="center"/>
          </w:tcPr>
          <w:p w14:paraId="6027965A">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承诺全部响应比选内容，得</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分。</w:t>
            </w:r>
            <w:r>
              <w:rPr>
                <w:rFonts w:hint="eastAsia" w:cs="仿宋"/>
                <w:color w:val="auto"/>
                <w:sz w:val="28"/>
                <w:szCs w:val="28"/>
                <w:highlight w:val="none"/>
                <w:lang w:val="en-US" w:eastAsia="zh-CN"/>
              </w:rPr>
              <w:t>未承诺全部响应比选内容，不得分。</w:t>
            </w:r>
          </w:p>
        </w:tc>
        <w:tc>
          <w:tcPr>
            <w:tcW w:w="603" w:type="pct"/>
            <w:vAlign w:val="center"/>
          </w:tcPr>
          <w:p w14:paraId="35D24439">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5分</w:t>
            </w:r>
          </w:p>
        </w:tc>
      </w:tr>
      <w:tr w14:paraId="6704D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64" w:type="pct"/>
            <w:vAlign w:val="center"/>
          </w:tcPr>
          <w:p w14:paraId="089BED32">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5</w:t>
            </w:r>
          </w:p>
        </w:tc>
        <w:tc>
          <w:tcPr>
            <w:tcW w:w="854" w:type="pct"/>
            <w:vAlign w:val="center"/>
          </w:tcPr>
          <w:p w14:paraId="4F7AD328">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服务方案</w:t>
            </w:r>
          </w:p>
        </w:tc>
        <w:tc>
          <w:tcPr>
            <w:tcW w:w="2977" w:type="pct"/>
            <w:vAlign w:val="center"/>
          </w:tcPr>
          <w:p w14:paraId="2EB3E539">
            <w:pPr>
              <w:pStyle w:val="6"/>
              <w:rPr>
                <w:rFonts w:hint="eastAsia" w:ascii="仿宋" w:hAnsi="仿宋" w:eastAsia="仿宋" w:cs="仿宋"/>
                <w:color w:val="auto"/>
                <w:sz w:val="28"/>
                <w:szCs w:val="28"/>
                <w:highlight w:val="none"/>
                <w:lang w:val="zh-CN" w:eastAsia="zh-CN" w:bidi="zh-CN"/>
              </w:rPr>
            </w:pPr>
            <w:r>
              <w:rPr>
                <w:rFonts w:hint="eastAsia" w:ascii="仿宋" w:hAnsi="仿宋" w:eastAsia="仿宋" w:cs="仿宋"/>
                <w:color w:val="auto"/>
                <w:sz w:val="28"/>
                <w:szCs w:val="28"/>
                <w:highlight w:val="none"/>
                <w:lang w:val="zh-CN" w:eastAsia="zh-CN" w:bidi="zh-CN"/>
              </w:rPr>
              <w:t>根据供应商针对本项目提供的服务方案进行评审，方案内容至少包含：①人员安排分工及现场工作时长；②整体工作方案；③进度控制及保障；④审计报告出具后的相关协助事项；⑤审计事项重难点和关键技术问题分析；⑥质量控制措施；⑦服务保障措施及承诺。方案完整包含以上内容且满足本项目要求的得3</w:t>
            </w:r>
            <w:r>
              <w:rPr>
                <w:rFonts w:hint="eastAsia" w:ascii="仿宋" w:hAnsi="仿宋" w:eastAsia="仿宋" w:cs="仿宋"/>
                <w:color w:val="auto"/>
                <w:sz w:val="28"/>
                <w:szCs w:val="28"/>
                <w:highlight w:val="none"/>
                <w:lang w:val="en-US" w:eastAsia="zh-CN" w:bidi="zh-CN"/>
              </w:rPr>
              <w:t>0</w:t>
            </w:r>
            <w:r>
              <w:rPr>
                <w:rFonts w:hint="eastAsia" w:ascii="仿宋" w:hAnsi="仿宋" w:eastAsia="仿宋" w:cs="仿宋"/>
                <w:color w:val="auto"/>
                <w:sz w:val="28"/>
                <w:szCs w:val="28"/>
                <w:highlight w:val="none"/>
                <w:lang w:val="zh-CN" w:eastAsia="zh-CN" w:bidi="zh-CN"/>
              </w:rPr>
              <w:t>分，每缺漏一项的扣5分，每有一项具有缺陷的扣3分，扣完为止。</w:t>
            </w:r>
          </w:p>
          <w:p w14:paraId="0A794A0E">
            <w:pPr>
              <w:pStyle w:val="6"/>
              <w:rPr>
                <w:rFonts w:hint="eastAsia" w:ascii="仿宋" w:hAnsi="仿宋" w:eastAsia="仿宋" w:cs="仿宋"/>
                <w:color w:val="auto"/>
                <w:sz w:val="28"/>
                <w:szCs w:val="28"/>
                <w:highlight w:val="yellow"/>
                <w:lang w:val="en-US"/>
              </w:rPr>
            </w:pPr>
            <w:r>
              <w:rPr>
                <w:rFonts w:hint="eastAsia" w:ascii="仿宋" w:hAnsi="仿宋" w:eastAsia="仿宋" w:cs="仿宋"/>
                <w:color w:val="auto"/>
                <w:sz w:val="28"/>
                <w:szCs w:val="28"/>
                <w:highlight w:val="none"/>
                <w:lang w:val="zh-CN" w:eastAsia="zh-CN" w:bidi="zh-CN"/>
              </w:rPr>
              <w:t>缺陷指：提供的内容存在与本项目无关或与实际情况不符、套用其他方案、内容简略、凭空编造、存在逻辑漏洞以及不可能实现的夸大情形或内容描述不符合本采购项目特点和实际需要等任意一种情形。</w:t>
            </w:r>
          </w:p>
        </w:tc>
        <w:tc>
          <w:tcPr>
            <w:tcW w:w="603" w:type="pct"/>
            <w:vAlign w:val="center"/>
          </w:tcPr>
          <w:p w14:paraId="0CE6A50D">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lang w:val="en-US"/>
              </w:rPr>
            </w:pPr>
            <w:r>
              <w:rPr>
                <w:rFonts w:hint="eastAsia" w:cs="仿宋"/>
                <w:color w:val="auto"/>
                <w:sz w:val="28"/>
                <w:szCs w:val="28"/>
                <w:highlight w:val="none"/>
                <w:lang w:val="en-US" w:eastAsia="zh-CN"/>
              </w:rPr>
              <w:t>35</w:t>
            </w:r>
            <w:r>
              <w:rPr>
                <w:rFonts w:hint="eastAsia" w:ascii="仿宋" w:hAnsi="仿宋" w:eastAsia="仿宋" w:cs="仿宋"/>
                <w:color w:val="auto"/>
                <w:sz w:val="28"/>
                <w:szCs w:val="28"/>
                <w:highlight w:val="none"/>
                <w:lang w:val="en-US"/>
              </w:rPr>
              <w:t>分</w:t>
            </w:r>
          </w:p>
        </w:tc>
      </w:tr>
      <w:tr w14:paraId="478349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564" w:type="pct"/>
            <w:vAlign w:val="center"/>
          </w:tcPr>
          <w:p w14:paraId="27474C60">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6</w:t>
            </w:r>
          </w:p>
        </w:tc>
        <w:tc>
          <w:tcPr>
            <w:tcW w:w="3831" w:type="pct"/>
            <w:gridSpan w:val="2"/>
            <w:vAlign w:val="center"/>
          </w:tcPr>
          <w:p w14:paraId="3D1F731F">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center"/>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满分</w:t>
            </w:r>
          </w:p>
        </w:tc>
        <w:tc>
          <w:tcPr>
            <w:tcW w:w="603" w:type="pct"/>
            <w:vAlign w:val="center"/>
          </w:tcPr>
          <w:p w14:paraId="1D0671F3">
            <w:pPr>
              <w:keepNext w:val="0"/>
              <w:keepLines w:val="0"/>
              <w:pageBreakBefore w:val="0"/>
              <w:widowControl w:val="0"/>
              <w:kinsoku/>
              <w:wordWrap/>
              <w:overflowPunct/>
              <w:topLinePunct w:val="0"/>
              <w:autoSpaceDE w:val="0"/>
              <w:autoSpaceDN w:val="0"/>
              <w:bidi w:val="0"/>
              <w:adjustRightInd w:val="0"/>
              <w:snapToGrid/>
              <w:spacing w:line="580" w:lineRule="exact"/>
              <w:ind w:left="0" w:leftChars="0" w:right="0" w:rightChars="0" w:firstLine="0" w:firstLineChars="0"/>
              <w:jc w:val="both"/>
              <w:textAlignment w:val="auto"/>
              <w:rPr>
                <w:rFonts w:hint="eastAsia"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lang w:val="en-US"/>
              </w:rPr>
              <w:t>100分</w:t>
            </w:r>
          </w:p>
        </w:tc>
      </w:tr>
    </w:tbl>
    <w:p w14:paraId="58798EC7">
      <w:pPr>
        <w:keepNext w:val="0"/>
        <w:keepLines w:val="0"/>
        <w:pageBreakBefore w:val="0"/>
        <w:widowControl w:val="0"/>
        <w:kinsoku/>
        <w:wordWrap/>
        <w:overflowPunct/>
        <w:topLinePunct w:val="0"/>
        <w:autoSpaceDE w:val="0"/>
        <w:autoSpaceDN w:val="0"/>
        <w:bidi w:val="0"/>
        <w:adjustRightInd/>
        <w:snapToGrid/>
        <w:spacing w:line="20" w:lineRule="exact"/>
        <w:ind w:firstLine="560" w:firstLineChars="200"/>
        <w:jc w:val="both"/>
        <w:textAlignment w:val="auto"/>
        <w:rPr>
          <w:rFonts w:hint="eastAsia" w:ascii="仿宋" w:hAnsi="仿宋" w:eastAsia="仿宋" w:cs="仿宋"/>
          <w:color w:val="auto"/>
          <w:sz w:val="28"/>
          <w:szCs w:val="28"/>
          <w:highlight w:val="none"/>
        </w:rPr>
      </w:pPr>
    </w:p>
    <w:sectPr>
      <w:footerReference r:id="rId3" w:type="default"/>
      <w:pgSz w:w="11906" w:h="16838"/>
      <w:pgMar w:top="1984" w:right="1474" w:bottom="1701" w:left="1587" w:header="851" w:footer="113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05242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8E00AC">
                          <w:pPr>
                            <w:pStyle w:val="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8E00AC">
                    <w:pPr>
                      <w:pStyle w:val="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zNGZhNzY4ODZiZDJlN2M1N2Y0MjNjZDY2NDU4ODMifQ=="/>
  </w:docVars>
  <w:rsids>
    <w:rsidRoot w:val="3A790487"/>
    <w:rsid w:val="000215D6"/>
    <w:rsid w:val="00032AC7"/>
    <w:rsid w:val="0004077A"/>
    <w:rsid w:val="00157857"/>
    <w:rsid w:val="003E35EF"/>
    <w:rsid w:val="0050704F"/>
    <w:rsid w:val="00590DA7"/>
    <w:rsid w:val="00592EC9"/>
    <w:rsid w:val="00620750"/>
    <w:rsid w:val="00650836"/>
    <w:rsid w:val="00796DA6"/>
    <w:rsid w:val="009004AA"/>
    <w:rsid w:val="009F58A0"/>
    <w:rsid w:val="00AF6279"/>
    <w:rsid w:val="00B5798B"/>
    <w:rsid w:val="00C55CA5"/>
    <w:rsid w:val="00CE2594"/>
    <w:rsid w:val="00DD5175"/>
    <w:rsid w:val="00E86B2B"/>
    <w:rsid w:val="00F47A5C"/>
    <w:rsid w:val="03C2134C"/>
    <w:rsid w:val="03CE5F43"/>
    <w:rsid w:val="03FD05D6"/>
    <w:rsid w:val="05512C90"/>
    <w:rsid w:val="05587ECD"/>
    <w:rsid w:val="064047AA"/>
    <w:rsid w:val="06697E19"/>
    <w:rsid w:val="06992AB6"/>
    <w:rsid w:val="07705CC0"/>
    <w:rsid w:val="07793B3D"/>
    <w:rsid w:val="079778EE"/>
    <w:rsid w:val="09383E5F"/>
    <w:rsid w:val="0B2828CA"/>
    <w:rsid w:val="0B3A3EBE"/>
    <w:rsid w:val="0B4C6C5F"/>
    <w:rsid w:val="0C1E558E"/>
    <w:rsid w:val="0C346B5F"/>
    <w:rsid w:val="0C8B219B"/>
    <w:rsid w:val="0D942A2B"/>
    <w:rsid w:val="0E234189"/>
    <w:rsid w:val="0E605AEC"/>
    <w:rsid w:val="0EE16EF5"/>
    <w:rsid w:val="0F1E7653"/>
    <w:rsid w:val="0F2033CB"/>
    <w:rsid w:val="0FCF7AFD"/>
    <w:rsid w:val="1032785A"/>
    <w:rsid w:val="104A4BA3"/>
    <w:rsid w:val="10643335"/>
    <w:rsid w:val="10B93AD7"/>
    <w:rsid w:val="10C77FA2"/>
    <w:rsid w:val="10FB5E9E"/>
    <w:rsid w:val="110E5BD1"/>
    <w:rsid w:val="117E1888"/>
    <w:rsid w:val="11C6025A"/>
    <w:rsid w:val="11DE1DC6"/>
    <w:rsid w:val="122B630F"/>
    <w:rsid w:val="12334E87"/>
    <w:rsid w:val="13370CE3"/>
    <w:rsid w:val="13AB3BAB"/>
    <w:rsid w:val="13FF0FD5"/>
    <w:rsid w:val="141C6857"/>
    <w:rsid w:val="14203ED4"/>
    <w:rsid w:val="14B940A6"/>
    <w:rsid w:val="14E37374"/>
    <w:rsid w:val="15051099"/>
    <w:rsid w:val="15316332"/>
    <w:rsid w:val="15853F88"/>
    <w:rsid w:val="158E5532"/>
    <w:rsid w:val="159348F7"/>
    <w:rsid w:val="15A305C8"/>
    <w:rsid w:val="17736C89"/>
    <w:rsid w:val="17DD6DDE"/>
    <w:rsid w:val="1A536F12"/>
    <w:rsid w:val="1B87316E"/>
    <w:rsid w:val="1C896A53"/>
    <w:rsid w:val="1C931680"/>
    <w:rsid w:val="1CA27B15"/>
    <w:rsid w:val="1D78738C"/>
    <w:rsid w:val="1E88098D"/>
    <w:rsid w:val="1ED2009A"/>
    <w:rsid w:val="1FA94D17"/>
    <w:rsid w:val="202A74B0"/>
    <w:rsid w:val="20D34741"/>
    <w:rsid w:val="20DF30E6"/>
    <w:rsid w:val="21AA63C4"/>
    <w:rsid w:val="221B6293"/>
    <w:rsid w:val="234C2589"/>
    <w:rsid w:val="23D23F61"/>
    <w:rsid w:val="25290DD3"/>
    <w:rsid w:val="275073D0"/>
    <w:rsid w:val="279326F6"/>
    <w:rsid w:val="27D17500"/>
    <w:rsid w:val="286F31A8"/>
    <w:rsid w:val="28CF1C92"/>
    <w:rsid w:val="29F15C38"/>
    <w:rsid w:val="2A9851FC"/>
    <w:rsid w:val="2B13590F"/>
    <w:rsid w:val="2B7F052F"/>
    <w:rsid w:val="2BCE7FDF"/>
    <w:rsid w:val="2C7A513F"/>
    <w:rsid w:val="2D6A3D37"/>
    <w:rsid w:val="2F450176"/>
    <w:rsid w:val="2F665A71"/>
    <w:rsid w:val="2F81180C"/>
    <w:rsid w:val="2FDB0F1C"/>
    <w:rsid w:val="300915D5"/>
    <w:rsid w:val="301637F8"/>
    <w:rsid w:val="308E008D"/>
    <w:rsid w:val="31090661"/>
    <w:rsid w:val="310D40B2"/>
    <w:rsid w:val="31552F50"/>
    <w:rsid w:val="316843DC"/>
    <w:rsid w:val="31774C75"/>
    <w:rsid w:val="337E3002"/>
    <w:rsid w:val="33C73EDF"/>
    <w:rsid w:val="37E26EAA"/>
    <w:rsid w:val="37F34858"/>
    <w:rsid w:val="387243E8"/>
    <w:rsid w:val="393022D9"/>
    <w:rsid w:val="398F15D4"/>
    <w:rsid w:val="39C30D57"/>
    <w:rsid w:val="3A790487"/>
    <w:rsid w:val="3ACB04F5"/>
    <w:rsid w:val="3B5A6814"/>
    <w:rsid w:val="3D78424E"/>
    <w:rsid w:val="3D8A3F82"/>
    <w:rsid w:val="3E724F4D"/>
    <w:rsid w:val="3F2C459F"/>
    <w:rsid w:val="400C77DC"/>
    <w:rsid w:val="400D1948"/>
    <w:rsid w:val="42750D5C"/>
    <w:rsid w:val="43320AF0"/>
    <w:rsid w:val="434C4EF1"/>
    <w:rsid w:val="43AF49FB"/>
    <w:rsid w:val="43C24475"/>
    <w:rsid w:val="43F839F3"/>
    <w:rsid w:val="441B3B85"/>
    <w:rsid w:val="448654A3"/>
    <w:rsid w:val="45E306D3"/>
    <w:rsid w:val="46E629CF"/>
    <w:rsid w:val="4800731A"/>
    <w:rsid w:val="4A121DEB"/>
    <w:rsid w:val="4AD36F68"/>
    <w:rsid w:val="4B4F0BA5"/>
    <w:rsid w:val="4D5A3970"/>
    <w:rsid w:val="4D9135E1"/>
    <w:rsid w:val="52A82A88"/>
    <w:rsid w:val="544E58B1"/>
    <w:rsid w:val="54EB3100"/>
    <w:rsid w:val="555313D1"/>
    <w:rsid w:val="57A41106"/>
    <w:rsid w:val="58FA4C52"/>
    <w:rsid w:val="597638E0"/>
    <w:rsid w:val="59EF5441"/>
    <w:rsid w:val="5AAA331B"/>
    <w:rsid w:val="5C0A509A"/>
    <w:rsid w:val="5C4E0A7E"/>
    <w:rsid w:val="5D5E4DB7"/>
    <w:rsid w:val="5D972077"/>
    <w:rsid w:val="5DEB370D"/>
    <w:rsid w:val="5E994D38"/>
    <w:rsid w:val="5FDB589E"/>
    <w:rsid w:val="5FE84E0C"/>
    <w:rsid w:val="5FED7554"/>
    <w:rsid w:val="600E3086"/>
    <w:rsid w:val="602F6597"/>
    <w:rsid w:val="60326087"/>
    <w:rsid w:val="60D76A79"/>
    <w:rsid w:val="60F15F42"/>
    <w:rsid w:val="61336788"/>
    <w:rsid w:val="620B4DE2"/>
    <w:rsid w:val="623205C0"/>
    <w:rsid w:val="62636E16"/>
    <w:rsid w:val="638E6AFE"/>
    <w:rsid w:val="63B514A9"/>
    <w:rsid w:val="64BE438D"/>
    <w:rsid w:val="657F3B1C"/>
    <w:rsid w:val="663F14FE"/>
    <w:rsid w:val="66636F9A"/>
    <w:rsid w:val="66803A76"/>
    <w:rsid w:val="67784CC7"/>
    <w:rsid w:val="67A869C1"/>
    <w:rsid w:val="68F00C4E"/>
    <w:rsid w:val="69287A93"/>
    <w:rsid w:val="6989689C"/>
    <w:rsid w:val="6A591DC2"/>
    <w:rsid w:val="6C0D1D63"/>
    <w:rsid w:val="6C94777D"/>
    <w:rsid w:val="6C97174C"/>
    <w:rsid w:val="6C9F67D7"/>
    <w:rsid w:val="6E22598D"/>
    <w:rsid w:val="6EB92C58"/>
    <w:rsid w:val="6F775864"/>
    <w:rsid w:val="70584F50"/>
    <w:rsid w:val="71447FDF"/>
    <w:rsid w:val="72240A4E"/>
    <w:rsid w:val="72EB5704"/>
    <w:rsid w:val="72FF629D"/>
    <w:rsid w:val="733777E5"/>
    <w:rsid w:val="734463A5"/>
    <w:rsid w:val="73C92407"/>
    <w:rsid w:val="760836BA"/>
    <w:rsid w:val="763B5199"/>
    <w:rsid w:val="76796366"/>
    <w:rsid w:val="769E7F5B"/>
    <w:rsid w:val="77396A7D"/>
    <w:rsid w:val="79164340"/>
    <w:rsid w:val="7931117A"/>
    <w:rsid w:val="7A831561"/>
    <w:rsid w:val="7B1A46DE"/>
    <w:rsid w:val="7B4A51E9"/>
    <w:rsid w:val="7B891B43"/>
    <w:rsid w:val="7BFA5853"/>
    <w:rsid w:val="7C6D098D"/>
    <w:rsid w:val="7D344D95"/>
    <w:rsid w:val="7D537239"/>
    <w:rsid w:val="7D7B6B42"/>
    <w:rsid w:val="7D8B6B7B"/>
    <w:rsid w:val="7DEEB09E"/>
    <w:rsid w:val="7E1626EC"/>
    <w:rsid w:val="7E192908"/>
    <w:rsid w:val="E2A9DDEC"/>
    <w:rsid w:val="E6FBC436"/>
    <w:rsid w:val="FCEF81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4"/>
    <w:next w:val="1"/>
    <w:qFormat/>
    <w:uiPriority w:val="0"/>
    <w:pPr>
      <w:keepNext/>
      <w:keepLines/>
      <w:spacing w:line="360" w:lineRule="auto"/>
    </w:pPr>
    <w:rPr>
      <w:rFonts w:eastAsia="华文中宋"/>
      <w:kern w:val="44"/>
    </w:rPr>
  </w:style>
  <w:style w:type="paragraph" w:styleId="5">
    <w:name w:val="heading 2"/>
    <w:basedOn w:val="1"/>
    <w:next w:val="1"/>
    <w:unhideWhenUsed/>
    <w:qFormat/>
    <w:uiPriority w:val="0"/>
    <w:pPr>
      <w:keepNext/>
      <w:keepLines/>
      <w:spacing w:line="480" w:lineRule="auto"/>
      <w:outlineLvl w:val="1"/>
    </w:pPr>
    <w:rPr>
      <w:rFonts w:ascii="Arial" w:hAnsi="Arial"/>
      <w:b/>
      <w:sz w:val="32"/>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700"/>
    </w:pPr>
    <w:rPr>
      <w:sz w:val="32"/>
      <w:szCs w:val="32"/>
    </w:rPr>
  </w:style>
  <w:style w:type="paragraph" w:styleId="4">
    <w:name w:val="Title"/>
    <w:basedOn w:val="1"/>
    <w:qFormat/>
    <w:uiPriority w:val="0"/>
    <w:pPr>
      <w:spacing w:before="240" w:after="60"/>
      <w:jc w:val="center"/>
      <w:outlineLvl w:val="0"/>
    </w:pPr>
    <w:rPr>
      <w:rFonts w:ascii="Arial" w:hAnsi="Arial"/>
      <w:b/>
      <w:sz w:val="32"/>
    </w:rPr>
  </w:style>
  <w:style w:type="paragraph" w:styleId="6">
    <w:name w:val="annotation text"/>
    <w:basedOn w:val="1"/>
    <w:qFormat/>
    <w:uiPriority w:val="0"/>
    <w:pPr>
      <w:jc w:val="left"/>
    </w:pPr>
  </w:style>
  <w:style w:type="paragraph" w:styleId="7">
    <w:name w:val="footer"/>
    <w:basedOn w:val="1"/>
    <w:link w:val="15"/>
    <w:qFormat/>
    <w:uiPriority w:val="0"/>
    <w:pPr>
      <w:tabs>
        <w:tab w:val="center" w:pos="4153"/>
        <w:tab w:val="right" w:pos="8306"/>
      </w:tabs>
      <w:snapToGrid w:val="0"/>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List Paragraph"/>
    <w:basedOn w:val="1"/>
    <w:qFormat/>
    <w:uiPriority w:val="1"/>
    <w:pPr>
      <w:spacing w:before="2"/>
      <w:ind w:left="700" w:firstLine="640"/>
    </w:pPr>
  </w:style>
  <w:style w:type="paragraph" w:customStyle="1" w:styleId="13">
    <w:name w:val="Table Paragraph"/>
    <w:basedOn w:val="1"/>
    <w:qFormat/>
    <w:uiPriority w:val="1"/>
  </w:style>
  <w:style w:type="character" w:customStyle="1" w:styleId="14">
    <w:name w:val="页眉 字符"/>
    <w:basedOn w:val="11"/>
    <w:link w:val="8"/>
    <w:qFormat/>
    <w:uiPriority w:val="0"/>
    <w:rPr>
      <w:rFonts w:ascii="仿宋" w:hAnsi="仿宋" w:eastAsia="仿宋" w:cs="仿宋"/>
      <w:sz w:val="18"/>
      <w:szCs w:val="18"/>
      <w:lang w:val="zh-CN" w:bidi="zh-CN"/>
    </w:rPr>
  </w:style>
  <w:style w:type="character" w:customStyle="1" w:styleId="15">
    <w:name w:val="页脚 字符"/>
    <w:basedOn w:val="11"/>
    <w:link w:val="7"/>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5037</Words>
  <Characters>5073</Characters>
  <Lines>21</Lines>
  <Paragraphs>6</Paragraphs>
  <TotalTime>10</TotalTime>
  <ScaleCrop>false</ScaleCrop>
  <LinksUpToDate>false</LinksUpToDate>
  <CharactersWithSpaces>5075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2020-08-13T01:55:00Z</dcterms:created>
  <dc:creator>LDQ</dc:creator>
  <cp:lastModifiedBy>英特信＊饶情律师</cp:lastModifiedBy>
  <dcterms:modified xsi:type="dcterms:W3CDTF">2026-01-27T04:29:19Z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393C9BD96028460285BC75DCA2EDCAA1_13</vt:lpwstr>
  </property>
  <property fmtid="{D5CDD505-2E9C-101B-9397-08002B2CF9AE}" pid="4" name="KSOTemplateDocerSaveRecord">
    <vt:lpwstr>eyJoZGlkIjoiMzEwNTM5NzYwMDRjMzkwZTVkZjY2ODkwMGIxNGU0OTUiLCJ1c2VySWQiOiI0NDI0OTU0MTAifQ==</vt:lpwstr>
  </property>
</Properties>
</file>