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5258C7">
      <w:pPr>
        <w:keepNext w:val="0"/>
        <w:keepLines w:val="0"/>
        <w:pageBreakBefore w:val="0"/>
        <w:kinsoku/>
        <w:overflowPunct/>
        <w:topLinePunct w:val="0"/>
        <w:autoSpaceDE/>
        <w:autoSpaceDN/>
        <w:bidi w:val="0"/>
        <w:adjustRightInd/>
        <w:snapToGrid/>
        <w:spacing w:line="440" w:lineRule="exact"/>
        <w:jc w:val="center"/>
        <w:textAlignment w:val="auto"/>
        <w:rPr>
          <w:rFonts w:ascii="仿宋" w:hAnsi="仿宋" w:eastAsia="仿宋"/>
          <w:sz w:val="44"/>
          <w:szCs w:val="48"/>
        </w:rPr>
      </w:pPr>
      <w:bookmarkStart w:id="0" w:name="_GoBack"/>
      <w:r>
        <w:rPr>
          <w:rFonts w:hint="eastAsia" w:ascii="仿宋" w:hAnsi="仿宋" w:eastAsia="仿宋"/>
          <w:sz w:val="44"/>
          <w:szCs w:val="48"/>
        </w:rPr>
        <w:t>竞买公告</w:t>
      </w:r>
    </w:p>
    <w:p w14:paraId="23FDC01D">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ascii="仿宋" w:hAnsi="仿宋" w:eastAsia="仿宋"/>
          <w:color w:val="000000"/>
          <w:sz w:val="27"/>
          <w:szCs w:val="27"/>
        </w:rPr>
      </w:pPr>
      <w:r>
        <w:rPr>
          <w:rFonts w:hint="eastAsia" w:ascii="仿宋" w:hAnsi="仿宋" w:eastAsia="仿宋"/>
          <w:color w:val="000000"/>
          <w:sz w:val="29"/>
          <w:szCs w:val="29"/>
        </w:rPr>
        <w:t>衡水市东建交通工程有限公司管理人将于</w:t>
      </w:r>
      <w:r>
        <w:rPr>
          <w:rStyle w:val="6"/>
          <w:rFonts w:hint="eastAsia" w:ascii="仿宋" w:hAnsi="仿宋" w:eastAsia="仿宋"/>
          <w:color w:val="EE0000"/>
          <w:sz w:val="29"/>
          <w:szCs w:val="29"/>
        </w:rPr>
        <w:t>2026年2月27日10时至2026年2月28日10时</w:t>
      </w:r>
      <w:r>
        <w:rPr>
          <w:rFonts w:hint="eastAsia" w:ascii="仿宋" w:hAnsi="仿宋" w:eastAsia="仿宋"/>
          <w:color w:val="000000"/>
          <w:sz w:val="29"/>
          <w:szCs w:val="29"/>
        </w:rPr>
        <w:t>止（延时除外）在京东拍卖破产强清平台（处置单位：衡水市东建交通工程有限公司管理人，监督单位：河北省衡水市中级人民法院，网址：https://auction.jd.com/bankrupt.html）进行公开拍卖活动，现公告如下：</w:t>
      </w:r>
    </w:p>
    <w:p w14:paraId="58BFCFC2">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一、重要提示</w:t>
      </w:r>
    </w:p>
    <w:p w14:paraId="51921A4B">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1、本标的系管理人依法履行《中华人民共和国企业破产法》的职责而在京东拍卖平台处置债务人财产。</w:t>
      </w:r>
    </w:p>
    <w:p w14:paraId="6D07A0C3">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2、竞拍前请务必遵照《竞买公告》《竞买须知》的要求，自行进行实地看样、调查标的物信息、了解竞买资质、委托代理及尾款支付方式等内容。</w:t>
      </w:r>
      <w:r>
        <w:rPr>
          <w:rStyle w:val="6"/>
          <w:rFonts w:hint="eastAsia" w:ascii="仿宋" w:hAnsi="仿宋" w:eastAsia="仿宋"/>
          <w:color w:val="000000"/>
          <w:sz w:val="29"/>
          <w:szCs w:val="29"/>
        </w:rPr>
        <w:t>如违反相关约定，竞买人的保证金可能会被划扣并产生其他法律责任，请理性参拍。</w:t>
      </w:r>
    </w:p>
    <w:p w14:paraId="58AF39CC">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3、本次拍卖为按现状拍卖，管理人不对拍卖标的的合法性、权属完整性、使用功能、质量瑕疵等承担任何保证责任。</w:t>
      </w:r>
      <w:r>
        <w:rPr>
          <w:rStyle w:val="6"/>
          <w:rFonts w:hint="eastAsia" w:ascii="仿宋" w:hAnsi="仿宋" w:eastAsia="仿宋"/>
          <w:color w:val="000000"/>
          <w:sz w:val="29"/>
          <w:szCs w:val="29"/>
        </w:rPr>
        <w:t>意向竞买人应在拍卖前自行对拍卖标的的权属、性质、规划审批情况、是否存在违法违规情形、实际使用状况、是否存在第三方权利争议等进行全面核查了解，充分评估潜在风险（包括但不限于因土地性质问题、违法建设导致拍卖标的被拆除、被罚款、无法正常使用、无法办理产权登记等风险）</w:t>
      </w:r>
      <w:r>
        <w:rPr>
          <w:rFonts w:hint="eastAsia" w:ascii="仿宋" w:hAnsi="仿宋" w:eastAsia="仿宋"/>
          <w:color w:val="000000"/>
          <w:sz w:val="29"/>
          <w:szCs w:val="29"/>
        </w:rPr>
        <w:t>。一经竞买则视为对标的物现状的了解、认可及接受，不会因拍卖标的存在任何瑕疵（包括但不限于本次已披露及未披露的瑕疵）向管理人及相关方主张任何权利。</w:t>
      </w:r>
    </w:p>
    <w:p w14:paraId="554922BF">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4、本次拍卖公告所作的情况说明，仅为竞买人参与竞买提供参考，不构成对资产质量、权属、用途、价值的任何承诺或保证，不能作为竞买人判断、权衡资产价值的最终依据，竞买人应当自行尽调，一旦参与竞拍，即视为对标的现状及风险完全知悉并接受。</w:t>
      </w:r>
    </w:p>
    <w:p w14:paraId="71C6D8D8">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5、</w:t>
      </w:r>
      <w:r>
        <w:rPr>
          <w:rStyle w:val="6"/>
          <w:rFonts w:hint="eastAsia" w:ascii="仿宋" w:hAnsi="仿宋" w:eastAsia="仿宋"/>
          <w:color w:val="000000"/>
          <w:sz w:val="29"/>
          <w:szCs w:val="29"/>
        </w:rPr>
        <w:t>请认真阅读本公告第三条特别说明部分。</w:t>
      </w:r>
    </w:p>
    <w:p w14:paraId="7479C00A">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6、本公告最终解释权属于管理人。</w:t>
      </w:r>
    </w:p>
    <w:p w14:paraId="7DC93D49">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二、拍卖标的及起拍价</w:t>
      </w:r>
    </w:p>
    <w:p w14:paraId="2C410AE3">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本次拍卖将衡水市东建交通工程有限公司位于河北省衡水市武邑县循环经济园区李庄村（道成商贸物流园内）内的房屋建筑物、地上附着物、构筑物、办公家具、家电及机器设备等（具体明细见标的物描述部分中未标注“未纳入拍卖范围”的内容）整体打包拍卖，标的物评估总价值为9863067.80元，起拍价：9863067.80元，保证金：1500000元，增价幅度：10万元(以及其整倍数)。</w:t>
      </w:r>
    </w:p>
    <w:p w14:paraId="564B798F">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三、特别说明</w:t>
      </w:r>
    </w:p>
    <w:p w14:paraId="28834DA6">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1、拍卖标的范围及现状</w:t>
      </w:r>
    </w:p>
    <w:p w14:paraId="5046A5F5">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本次拍卖标的范围仅限于标的物描述部分所示内容，拍卖标的项下所有房产均属于无证房产，未办理任何产权登记手续，且本次拍卖标的所对应的土地使用权未纳入本次评估范围，亦不纳入本次拍卖标的。土地相关情况见下述披露，意向竞买人需自行核实土地使用权的权属、性质、规划等全部情况。</w:t>
      </w:r>
    </w:p>
    <w:p w14:paraId="41597AE0">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(2)拍卖标的可能涉及违法建设情形。根据向相关主管部门核查资料显示，债务人建筑物占用土地存在违法占用、未办理审批手续等情形，部分土地曾因非法占用被主管部门作出行政处罚（含责令退还土地、没收地上建筑物及设施、罚款等），且部分地上建筑物对应的土地用途不符合土地利用总体规划。法院及管理人均不对拍卖标的是否符合规划、是否属于合法建筑承担任何保证责任。竞买人一旦参拍，视为已充分评估并接受拍卖标的所涉的被政府查处、拆除、没收、罚款的可能性。</w:t>
      </w:r>
    </w:p>
    <w:p w14:paraId="20CBB92C">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（3）拍卖标的成交后，全部以移交当日的实物现状为准。如实际交易面积、数量等信息与实物或未来测绘结果不符，管理人对成交金额不作调整、不退不补。</w:t>
      </w:r>
    </w:p>
    <w:p w14:paraId="428B7FA3">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4）本次评估及拍卖均未考虑房屋及构筑物等的质量、消防、抗震、环保、安全等强制性规范要求，也未考虑查封、抵押、担保、优先权或其他权利负担，对于前述内容，应当由买受人自行进行尽调，一旦参拍，视为接受包括但不限于上述全部已经存在、或可能存在的现存或隐蔽权利负担、瑕疵或潜在缺陷，并同意自行解决、以及承担因此产生的一切法律和经济责任。</w:t>
      </w:r>
    </w:p>
    <w:p w14:paraId="7CAC61F5">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2、土地权利状况及风险提示</w:t>
      </w:r>
    </w:p>
    <w:p w14:paraId="7C36FAB9">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本次拍卖标的不含土地使用权，所占土地分属不同权属、不同性质，且大部分未完成法定征收转用程序，买受人如拟继续使用土地，须自行与土地所有权人及有权人民政府处理征地、出让、租赁、流转等事宜，并自行承担无法取得土地使用权或无法办理任何用地、规划、建设手续的全部风险；法院及管理人不负责也无法保证为买受人办理任何用地及规划手续。</w:t>
      </w:r>
    </w:p>
    <w:p w14:paraId="643D7BD3">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（2）本次拍卖未对土地使用权价值进行评估，成交价款不含任何土地出让金、征地补偿款、配套费、税费或其他应向政府、集体缴纳的费用等；如未来依法需补缴前述费用，全部由买受人另行承担。</w:t>
      </w:r>
    </w:p>
    <w:p w14:paraId="25C427CB">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3、其他风险告知</w:t>
      </w:r>
    </w:p>
    <w:p w14:paraId="71375DED">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债务人（衡水市东建交通工程有限公司）、衡水宝发商贸有限公司（已协议转让给债务人）与武邑县循环经济园区建设管理委员会等第三方签订有《进区协议书》等，管理人无法排除园区方或其他第三方对地上财产主张“未付清配套费、管理费”等权利；如因此导致买受人被追索、被诉讼或无法实际使用拍卖标的，法院及管理人不承担任何责任。拍卖成交后，如园区方或其他第三方要求买受人补缴任何历史欠费或续缴配套费用（包括债务人破产受理前、后的一切可能费用），全部由买受人自行处理并承担。</w:t>
      </w:r>
    </w:p>
    <w:p w14:paraId="741B3C5D">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2）本次拍卖标的部分建筑物存在租约未到期的情况，竞买人应在竞拍前自行向管理人、承租人核实合同条款、租金支付凭证、占用范围、转租分租、抵押查封、欠费欠税等情况，并充分评估带租约对资产价值、使用计划、融资、后续处分等造成的不利影响；一旦出价，即视为已完整了解并接受上述全部风险，法院及管理人不承担任何瑕疵担保或清场义务。无论最终租赁合同是否解除、是否继续履行、是否需返还租金或赔偿损失，管理人均不再向买受人移交任何已预收租金；买受人竞得标的后，须自行与承租人协商后续占有、使用、收益、清场或继续履行合同等事宜，并自行承担协商不成引发诉讼、仲裁、赔偿、无法收房等全部风险。</w:t>
      </w:r>
    </w:p>
    <w:p w14:paraId="53E7B1F2">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（3）</w:t>
      </w:r>
      <w:r>
        <w:rPr>
          <w:rStyle w:val="6"/>
          <w:rFonts w:hint="eastAsia" w:ascii="仿宋" w:hAnsi="仿宋" w:eastAsia="仿宋"/>
          <w:color w:val="000000"/>
          <w:sz w:val="29"/>
          <w:szCs w:val="29"/>
        </w:rPr>
        <w:t>竞买人应在竞拍前自行向自然资源、住建、消防、环保、税务、园区管委会、村集体经济组织等相关部门核实土地性质、规划条件、建设手续、税费欠缴、园区政策等情况；一旦出价，即视为已完整了解并接受全部瑕疵与风险。如买受人后续办理任何权属登记、备案、流转、征地、出让、规划报建等手续，由此产生的全部税、费、罚款、滞纳金等及历史欠税、费，均由买受人另行承担。因财产无证、无规划、所占土地未完成法定征收程序等原因导致无法办理登记手续的，管理人已提前告知，买受人不得以此为由主张退还成交价款、要求赔偿或提出其他任何权利主张。</w:t>
      </w:r>
    </w:p>
    <w:p w14:paraId="7AA27BFC">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（4）管理人按“现状移交”原则，在买受人缴清全部成交价款且签署《成交确认书》后30日内，以“实物现状”方式一次性交付,</w:t>
      </w:r>
      <w:r>
        <w:rPr>
          <w:rFonts w:ascii="Calibri" w:hAnsi="Calibri" w:eastAsia="仿宋" w:cs="Calibri"/>
          <w:color w:val="000000"/>
          <w:sz w:val="27"/>
          <w:szCs w:val="27"/>
        </w:rPr>
        <w:t> </w:t>
      </w:r>
      <w:r>
        <w:rPr>
          <w:rFonts w:hint="eastAsia" w:ascii="仿宋" w:hAnsi="仿宋" w:eastAsia="仿宋"/>
          <w:color w:val="000000"/>
          <w:sz w:val="29"/>
          <w:szCs w:val="29"/>
        </w:rPr>
        <w:t>管理人对拍卖标的面积、使用年限、设计用途、质量、数量、规格、结构、成分、内在质量、成新率等，均不承担瑕疵保证和担保责任，由此产生的问题不影响拍卖成交结果及成交价格，如需进行修复等，产生的费用由买受人自行承担；如拍卖标的存在占用、租赁、借用、仓储、堆放、第三方主张权利等情形，由买受人自行解决清场、搬迁、补偿、诉讼等问题，管理人不负责腾空。</w:t>
      </w:r>
      <w:r>
        <w:rPr>
          <w:rStyle w:val="6"/>
          <w:rFonts w:hint="eastAsia" w:ascii="仿宋" w:hAnsi="仿宋" w:eastAsia="仿宋"/>
          <w:color w:val="000000"/>
          <w:sz w:val="29"/>
          <w:szCs w:val="29"/>
        </w:rPr>
        <w:t>如拍卖标的因政府征收、拆除、没收、司法查封、第三方主张权利等原因导致无法交付或部分灭失，管理人不承担退货、降价、赔偿或违约责任，买受人已缴纳的成交价款不予退还。</w:t>
      </w:r>
    </w:p>
    <w:p w14:paraId="467B620A">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285"/>
        <w:textAlignment w:val="auto"/>
        <w:rPr>
          <w:rFonts w:hint="eastAsia" w:ascii="仿宋" w:hAnsi="仿宋" w:eastAsia="仿宋"/>
          <w:color w:val="000000"/>
          <w:sz w:val="27"/>
          <w:szCs w:val="27"/>
        </w:rPr>
      </w:pPr>
      <w:r>
        <w:rPr>
          <w:rFonts w:hint="eastAsia" w:ascii="仿宋" w:hAnsi="仿宋" w:eastAsia="仿宋"/>
          <w:color w:val="000000"/>
          <w:sz w:val="29"/>
          <w:szCs w:val="29"/>
        </w:rPr>
        <w:t>（5）竞买人应当符合法律法规规定及当地政策规定的受让条件。竞买人是否符合条件，应自行至当地房屋管理、土地管理部门、所属工业园区、招商部门等询问，应当符合财税、环评、安评等相关政策要求，因不符合购买政策而导致购买后不能登记等一切法律后果由竞买人自行承担，与法院及管理人无关。拍卖标的成交后涉及的各项行政许可需竞买人自行办理，请各竞买人于竞拍前自行咨询，如竞买人竞拍成功后因不符合当地要求而影响其使用拍卖标的物或产生其他各类费用或者造成其他损失的，责任由竞买人自负，与法院及管理人无关。</w:t>
      </w:r>
    </w:p>
    <w:p w14:paraId="066CFE44">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285"/>
        <w:textAlignment w:val="auto"/>
        <w:rPr>
          <w:rFonts w:hint="eastAsia" w:ascii="仿宋" w:hAnsi="仿宋" w:eastAsia="仿宋"/>
          <w:color w:val="000000"/>
          <w:sz w:val="27"/>
          <w:szCs w:val="27"/>
        </w:rPr>
      </w:pPr>
      <w:r>
        <w:rPr>
          <w:rFonts w:hint="eastAsia" w:ascii="仿宋" w:hAnsi="仿宋" w:eastAsia="仿宋"/>
          <w:color w:val="000000"/>
          <w:sz w:val="29"/>
          <w:szCs w:val="29"/>
        </w:rPr>
        <w:t>（6）本次拍卖交割过程中产生的所有费用（包括但不限于已发生的及因交割而产生的搬迁费、运输费等费用），均由买受人自行承担。</w:t>
      </w:r>
    </w:p>
    <w:p w14:paraId="1E632802">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285"/>
        <w:textAlignment w:val="auto"/>
        <w:rPr>
          <w:rFonts w:hint="eastAsia" w:ascii="仿宋" w:hAnsi="仿宋" w:eastAsia="仿宋"/>
          <w:color w:val="000000"/>
          <w:sz w:val="27"/>
          <w:szCs w:val="27"/>
        </w:rPr>
      </w:pPr>
      <w:r>
        <w:rPr>
          <w:rFonts w:hint="eastAsia" w:ascii="仿宋" w:hAnsi="仿宋" w:eastAsia="仿宋"/>
          <w:color w:val="000000"/>
          <w:sz w:val="29"/>
          <w:szCs w:val="29"/>
        </w:rPr>
        <w:t>（7）自标的交接之日起，标的物毁损、灭失的风险及新增产生的费用，均由买受人自行承担并负责解决。</w:t>
      </w:r>
    </w:p>
    <w:p w14:paraId="5D029C22">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28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（8）本次拍卖标的物为破产财产，拍卖成交后，管理人无法提供发票，但需要买受人承担买卖双方的缴税义务（详见本公告第九条中关于税费承担部分）。</w:t>
      </w:r>
    </w:p>
    <w:p w14:paraId="482CA229">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四、咨询、展示看样的时间与方式</w:t>
      </w:r>
    </w:p>
    <w:p w14:paraId="7355E89E">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自公告之日起至开拍日前一个工作日上午9时至12时，下午15时至17时（节假日除外）接受咨询。</w:t>
      </w:r>
      <w:r>
        <w:rPr>
          <w:rStyle w:val="6"/>
          <w:rFonts w:hint="eastAsia" w:ascii="仿宋" w:hAnsi="仿宋" w:eastAsia="仿宋"/>
          <w:color w:val="000000"/>
          <w:sz w:val="29"/>
          <w:szCs w:val="29"/>
        </w:rPr>
        <w:t>有意者可与管理人沟通具体看样方式，管理人联系人：张律师，联系电话：17366515505，付律师：18031885979。</w:t>
      </w:r>
    </w:p>
    <w:p w14:paraId="41C9DA8D">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五、标的优先购买权人</w:t>
      </w:r>
    </w:p>
    <w:p w14:paraId="77D23573">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竞价标的如若存在优先购买权人，优先购买权人参加竞买的，应于竞价活动开始</w:t>
      </w:r>
      <w:r>
        <w:rPr>
          <w:rStyle w:val="6"/>
          <w:rFonts w:hint="eastAsia" w:ascii="仿宋" w:hAnsi="仿宋" w:eastAsia="仿宋"/>
          <w:color w:val="000000"/>
          <w:sz w:val="29"/>
          <w:szCs w:val="29"/>
        </w:rPr>
        <w:t>3</w:t>
      </w:r>
      <w:r>
        <w:rPr>
          <w:rFonts w:hint="eastAsia" w:ascii="仿宋" w:hAnsi="仿宋" w:eastAsia="仿宋"/>
          <w:color w:val="000000"/>
          <w:sz w:val="29"/>
          <w:szCs w:val="29"/>
        </w:rPr>
        <w:t>个工作日前向管理人提交合法有效的证明（登记的身份信息必须与京东实名认证相一致），经管理人确认后才能以优先购买权人的身份参与竞买，逾期提交的，视为放弃对本标的享有优先购买权。本标的优先购买权人未参加竞价，亦视为放弃优先购买权。</w:t>
      </w:r>
    </w:p>
    <w:p w14:paraId="56598200">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六、权属异议处置</w:t>
      </w:r>
    </w:p>
    <w:p w14:paraId="42DD125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对上述标的权属有异议者，请于竞价开始前3天与管理人联系，并提交合法有效的异议材料。逾期提交的，视为无异议。</w:t>
      </w:r>
    </w:p>
    <w:p w14:paraId="3615735D">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七、竞价方式</w:t>
      </w:r>
    </w:p>
    <w:p w14:paraId="6FF795DE">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1、从起拍价开始以递增出价方式竞价。</w:t>
      </w:r>
    </w:p>
    <w:p w14:paraId="083D52BF">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2、本次竞价活动设置延时出价功能，在竞价活动结束前，每最后5分钟如果有竞买人出价，就自动延迟5分钟。</w:t>
      </w:r>
    </w:p>
    <w:p w14:paraId="339C2ED9">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3、本次拍卖至少需一人报名且出价不低于起拍价方可成交。如果无人报名或出价的，本次竞价流拍。</w:t>
      </w:r>
    </w:p>
    <w:p w14:paraId="09BDFCEC">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八、保证金与余款交纳</w:t>
      </w:r>
    </w:p>
    <w:p w14:paraId="589CA52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拍卖竞价前，意向竞买人须在京东注册账号并通过实名认证（已注册京东账号需通过实名认证），在线支付竞买保证金，支付后系统自动锁定该笔保证金。竞价成交的，本标的物竞得者（即“竞买人”）锁定的保证金将自动转为部分成交款，由京东结算给管理人指定账户；未能竞得者的保证金以及竞价未成交的（即流拍的）竞买人的保证金在竞价活动结束后即时解锁，保证金锁定期间不计利息。</w:t>
      </w:r>
    </w:p>
    <w:p w14:paraId="0C78A495">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2、竞买人应在成功竞得本标的后7日内将扣除保证金后的成交价余款缴入管理人账户</w:t>
      </w:r>
      <w:r>
        <w:rPr>
          <w:rStyle w:val="6"/>
          <w:rFonts w:hint="eastAsia" w:ascii="仿宋" w:hAnsi="仿宋" w:eastAsia="仿宋"/>
          <w:color w:val="000000"/>
          <w:sz w:val="29"/>
          <w:szCs w:val="29"/>
        </w:rPr>
        <w:t>（账户名称：衡水市东建交通工程有限公司管理人，账号：647500813，开户行：中国民生银行股份有限公司衡水永兴路支行）</w:t>
      </w:r>
    </w:p>
    <w:p w14:paraId="0B4EB2B0">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3、竞买人在成功竞得本标的后，未能在上述规定期限内足额支付拍卖成交款则视为违约，管理人将有权取消其竞买人资格、没收其保证金并要求其承担重新拍卖的价款低于原拍卖价的差价等损失。</w:t>
      </w:r>
    </w:p>
    <w:p w14:paraId="6529B325">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4、凡拍卖标的通过京东拍卖平台成交，竞买人应按照京东《技术服务费收取规则介绍》向京东平台支付系统成交价总额0.5%的技术服务费，支付费用以页面展示为准。单个标的技术服务费金额上限为500,000元（人民币：伍拾万圆整），拍卖标的物竞拍成功后，平台系统会在线上生成一笔待支付的技术服务费，竞买人通过线上全额支付完成费用后，拍卖标的保证金将转至处置主体的银行账户（若竞买人未支付技术服务费的，平台将延迟推送竞拍保证金直至竞买人线上完成技术服务费订单的支付）。系统交易失败的情形（包含中止、撤回、流拍）不收费。如发生竞拍成功后不买，竞买人仍负有支付技术服务费的义务。竞买人若支付完成全额技术服务费，需开具发票，请联系客服400-622-9586，详见平台收费规则。</w:t>
      </w:r>
    </w:p>
    <w:p w14:paraId="0BCA8EE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特别说明：技术服务费由竞价成功的竞买人支付。该费用是在拍卖成交金额之外另行收取，由竞买人支付，如竞买人未支付该费用，交纳的竞拍保证金将被冻结，影响拍卖最终成交，由此引起的责任由竞买人自行承担。买受人缴纳相关费用后如需索取发票的，可在京东支付系统中查看已完成支付的技术服务费记录并点击申请开票。</w:t>
      </w:r>
    </w:p>
    <w:p w14:paraId="74D8DC14">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九、标的物移交及税费承担</w:t>
      </w:r>
    </w:p>
    <w:p w14:paraId="3E7FD2E4">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1、竞买人成功竞得网拍标的物后，京东网拍平台将自动生成拍卖文件，载明实际买受人姓名、网拍竞买号信息。竞买成功后，竞买人（自然人本人；单位法定代表人或负责人）或委托代理人需持交清尾款手续及相关身份材料、委托手续等原件，到管理人处办理拍卖标的物交接手续。买受人付款后应及时要求移交拍卖标的物，超过30日不办理手续要求移交拍卖标的物的，买受人应支付由此产生的费用，并承担本标的物可能发生的损毁、灭失等后果；逾期超过60日不办理移交手续移交拍卖标的物的，视为放弃，管理人有权另行处理，由此产生的损失由买受人承担。买受人自签署《拍卖成交确认书》及《拍卖标的物移交确认书》时起，标的物的各类风险由买受人自行承担。</w:t>
      </w:r>
    </w:p>
    <w:p w14:paraId="48CA56C2">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2、涉及税费交纳的，竞买人一旦竞买成功应及时向税务部门缴纳税金，需付清全部拍卖成交款之日起30日内办清，否则一切后果由竞买人自行承担。</w:t>
      </w:r>
    </w:p>
    <w:p w14:paraId="156F39D4">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EE0000"/>
          <w:sz w:val="29"/>
          <w:szCs w:val="29"/>
        </w:rPr>
        <w:t>成交价不包含交易服务费、转让时双方的一切税费；本次拍卖标的无法办理产权转移登记手续。但因本次拍卖所产生的全部税费（包括但不限于：买受人、债务人应承担的综合税、所得税、营业税；增值税及附加税；契税；印花税；房产交易中规定缴纳的各种费用；其他需向政府有关部门缴纳、补缴的土地出让金或出让金差额和土地使用租金、规费、测绘费等）及明确的或潜在的一切关联费用，无论法律规定由转让方还是受让方承担的，均由买受人承担。买受人在竞买前应向所涉税务局部门确认成交后应缴纳的税费标准和数额。</w:t>
      </w:r>
    </w:p>
    <w:p w14:paraId="670A3C53">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EE0000"/>
          <w:sz w:val="29"/>
          <w:szCs w:val="29"/>
        </w:rPr>
        <w:t>成交后所产生的所有费用（包括但不限于搬运费、人工费、运输费、水电费、安全问题产生的费用）、成交前可能存在的标的物拖欠的水、电、物业费等欠费均由竞买人自行承担，未明确缴费义务人的相关费用也由买受人负担。</w:t>
      </w:r>
    </w:p>
    <w:p w14:paraId="0EB932D8">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ascii="Calibri" w:hAnsi="Calibri" w:eastAsia="仿宋" w:cs="Calibri"/>
          <w:color w:val="000000"/>
          <w:sz w:val="29"/>
          <w:szCs w:val="29"/>
        </w:rPr>
        <w:t> </w:t>
      </w:r>
      <w:r>
        <w:rPr>
          <w:rFonts w:hint="eastAsia" w:ascii="仿宋" w:hAnsi="仿宋" w:eastAsia="仿宋"/>
          <w:color w:val="000000"/>
          <w:sz w:val="29"/>
          <w:szCs w:val="29"/>
        </w:rPr>
        <w:t>3、本次拍卖标的物如存在被法院查封或轮候查封的情况，管理人可予以提供必要协助。</w:t>
      </w:r>
    </w:p>
    <w:p w14:paraId="71E0312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十、风险提示</w:t>
      </w:r>
    </w:p>
    <w:p w14:paraId="40CA9736">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管理人对此次竞价标的物所作的说明和提供的图片、文字资料等，仅供竞买人参考，不构成对标的物的任何担保，不作为对竞买人参与此次竞价的建议，仅供竞买人参考。</w:t>
      </w:r>
    </w:p>
    <w:p w14:paraId="3717B7C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十一、信息披露与条款确认</w:t>
      </w:r>
    </w:p>
    <w:p w14:paraId="23F219DF">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本次网上公开竞价的《竞买公告》《标的介绍》等相关文件、图片和视频已在京东网络竞价平台公开展示，请仔细浏览。竞买人一旦参与竞拍即表明其已充分知悉并同意接受前述文件的全部条款和内容，竞买人不存在任何歧义和误认，且不对前述文件的条款提出任何异议。</w:t>
      </w:r>
    </w:p>
    <w:p w14:paraId="19D74BEB">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EE0000"/>
          <w:sz w:val="29"/>
          <w:szCs w:val="29"/>
        </w:rPr>
        <w:t>本次拍卖标的情况较复杂，请意向竞买人认真阅读公告内容，并于竞价前到管理人处签署承诺书。竞买人未签订书面承诺书的，也需由竞买人自行承担一切风险。</w:t>
      </w:r>
    </w:p>
    <w:p w14:paraId="738829EB">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Style w:val="6"/>
          <w:rFonts w:hint="eastAsia" w:ascii="仿宋" w:hAnsi="仿宋" w:eastAsia="仿宋"/>
          <w:color w:val="000000"/>
          <w:sz w:val="29"/>
          <w:szCs w:val="29"/>
        </w:rPr>
        <w:t>十二、解释权与咨询方式</w:t>
      </w:r>
    </w:p>
    <w:p w14:paraId="49BD1B60">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本公告由管理人制定发布，解释权归管理人，其他未尽事宜，请向管理人咨询。管理人咨询电话：张律师：17366515505，付律师：18031885979； 联系地址：河北省衡水市桃城区前进大街紫金大厦5号楼616室。</w:t>
      </w:r>
    </w:p>
    <w:p w14:paraId="76D0073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此公告在“京东网”上发布，网址：</w:t>
      </w:r>
      <w:r>
        <w:rPr>
          <w:rFonts w:ascii="Calibri" w:hAnsi="Calibri" w:eastAsia="仿宋" w:cs="Calibri"/>
          <w:color w:val="000000"/>
          <w:sz w:val="29"/>
          <w:szCs w:val="29"/>
        </w:rPr>
        <w:t> </w:t>
      </w:r>
      <w:r>
        <w:fldChar w:fldCharType="begin"/>
      </w:r>
      <w:r>
        <w:instrText xml:space="preserve"> HYPERLINK "https://auction.jd.com/bankrupt.html" </w:instrText>
      </w:r>
      <w:r>
        <w:fldChar w:fldCharType="separate"/>
      </w:r>
      <w:r>
        <w:rPr>
          <w:rStyle w:val="7"/>
          <w:rFonts w:hint="eastAsia" w:ascii="仿宋" w:hAnsi="仿宋" w:eastAsia="仿宋"/>
          <w:color w:val="0000EE"/>
          <w:sz w:val="29"/>
          <w:szCs w:val="29"/>
        </w:rPr>
        <w:t>https://auction.jd.com/bankrupt.html</w:t>
      </w:r>
      <w:r>
        <w:rPr>
          <w:rStyle w:val="7"/>
          <w:rFonts w:hint="eastAsia" w:ascii="仿宋" w:hAnsi="仿宋" w:eastAsia="仿宋"/>
          <w:color w:val="0000EE"/>
          <w:sz w:val="29"/>
          <w:szCs w:val="29"/>
        </w:rPr>
        <w:fldChar w:fldCharType="end"/>
      </w:r>
      <w:r>
        <w:rPr>
          <w:rFonts w:hint="eastAsia" w:ascii="仿宋" w:hAnsi="仿宋" w:eastAsia="仿宋"/>
          <w:color w:val="000000"/>
          <w:sz w:val="29"/>
          <w:szCs w:val="29"/>
        </w:rPr>
        <w:t>。</w:t>
      </w:r>
    </w:p>
    <w:p w14:paraId="25B1C4EA">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京东技术咨询电话：4006229586</w:t>
      </w:r>
    </w:p>
    <w:p w14:paraId="2FDC0945">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hint="eastAsia" w:ascii="仿宋" w:hAnsi="仿宋" w:eastAsia="仿宋"/>
          <w:color w:val="000000"/>
          <w:sz w:val="29"/>
          <w:szCs w:val="29"/>
        </w:rPr>
        <w:t>凡发现竞价中有违规行为，可如实举报。</w:t>
      </w:r>
    </w:p>
    <w:p w14:paraId="275C61C0">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555"/>
        <w:textAlignment w:val="auto"/>
        <w:rPr>
          <w:rFonts w:hint="eastAsia" w:ascii="仿宋" w:hAnsi="仿宋" w:eastAsia="仿宋"/>
          <w:color w:val="000000"/>
          <w:sz w:val="27"/>
          <w:szCs w:val="27"/>
        </w:rPr>
      </w:pPr>
      <w:r>
        <w:rPr>
          <w:rFonts w:ascii="Calibri" w:hAnsi="Calibri" w:eastAsia="仿宋" w:cs="Calibri"/>
          <w:color w:val="000000"/>
          <w:sz w:val="29"/>
          <w:szCs w:val="29"/>
        </w:rPr>
        <w:t> </w:t>
      </w:r>
    </w:p>
    <w:p w14:paraId="1E1ED9BF">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285"/>
        <w:jc w:val="right"/>
        <w:textAlignment w:val="auto"/>
        <w:rPr>
          <w:rFonts w:hint="eastAsia" w:ascii="仿宋" w:hAnsi="仿宋" w:eastAsia="仿宋"/>
          <w:color w:val="000000"/>
          <w:sz w:val="27"/>
          <w:szCs w:val="27"/>
        </w:rPr>
      </w:pPr>
      <w:r>
        <w:rPr>
          <w:rFonts w:ascii="Calibri" w:hAnsi="Calibri" w:eastAsia="仿宋" w:cs="Calibri"/>
          <w:color w:val="000000"/>
          <w:sz w:val="29"/>
          <w:szCs w:val="29"/>
        </w:rPr>
        <w:t> </w:t>
      </w:r>
    </w:p>
    <w:p w14:paraId="20942372">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firstLine="285"/>
        <w:jc w:val="right"/>
        <w:textAlignment w:val="auto"/>
        <w:rPr>
          <w:rFonts w:hint="eastAsia" w:ascii="仿宋" w:hAnsi="仿宋" w:eastAsia="仿宋"/>
          <w:color w:val="000000"/>
          <w:sz w:val="27"/>
          <w:szCs w:val="27"/>
        </w:rPr>
      </w:pPr>
      <w:r>
        <w:rPr>
          <w:rFonts w:hint="eastAsia" w:ascii="仿宋" w:hAnsi="仿宋" w:eastAsia="仿宋"/>
          <w:color w:val="000000"/>
          <w:sz w:val="29"/>
          <w:szCs w:val="29"/>
        </w:rPr>
        <w:t>衡水市东建交通工程有限公司管理人</w:t>
      </w:r>
    </w:p>
    <w:p w14:paraId="38980557">
      <w:pPr>
        <w:pStyle w:val="3"/>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440" w:lineRule="exact"/>
        <w:ind w:right="840" w:firstLine="285"/>
        <w:jc w:val="right"/>
        <w:textAlignment w:val="auto"/>
        <w:rPr>
          <w:rFonts w:hint="eastAsia" w:ascii="仿宋" w:hAnsi="仿宋" w:eastAsia="仿宋"/>
          <w:color w:val="000000"/>
          <w:sz w:val="29"/>
          <w:szCs w:val="29"/>
        </w:rPr>
      </w:pPr>
      <w:r>
        <w:rPr>
          <w:rFonts w:hint="eastAsia" w:ascii="仿宋" w:hAnsi="仿宋" w:eastAsia="仿宋"/>
          <w:color w:val="000000"/>
          <w:sz w:val="29"/>
          <w:szCs w:val="29"/>
        </w:rPr>
        <w:t>2026年2月4日　</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D1A"/>
    <w:rsid w:val="00243D1A"/>
    <w:rsid w:val="0076329D"/>
    <w:rsid w:val="00FF270A"/>
    <w:rsid w:val="0EB16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8"/>
    <w:semiHidden/>
    <w:unhideWhenUsed/>
    <w:uiPriority w:val="99"/>
    <w:pPr>
      <w:ind w:left="100" w:leftChars="2500"/>
    </w:p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semiHidden/>
    <w:unhideWhenUsed/>
    <w:uiPriority w:val="99"/>
    <w:rPr>
      <w:color w:val="0000FF"/>
      <w:u w:val="single"/>
    </w:rPr>
  </w:style>
  <w:style w:type="character" w:customStyle="1" w:styleId="8">
    <w:name w:val="日期 字符"/>
    <w:basedOn w:val="5"/>
    <w:link w:val="2"/>
    <w:semiHidden/>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9052</Words>
  <Characters>9462</Characters>
  <Lines>68</Lines>
  <Paragraphs>19</Paragraphs>
  <TotalTime>2</TotalTime>
  <ScaleCrop>false</ScaleCrop>
  <LinksUpToDate>false</LinksUpToDate>
  <CharactersWithSpaces>9471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2026-02-04T04:22:00Z</dcterms:created>
  <dc:creator>马富英</dc:creator>
  <cp:lastModifiedBy>玲</cp:lastModifiedBy>
  <dcterms:modified xsi:type="dcterms:W3CDTF">2026-02-04T05:45:09Z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eyJoZGlkIjoiMTM0MGU3Y2UwYTMwNzE0YzQ5YjVhMTEzNjI1ZTFlNjIiLCJ1c2VySWQiOiI1NjkxNTkyODkifQ==</vt:lpwstr>
  </property>
  <property fmtid="{D5CDD505-2E9C-101B-9397-08002B2CF9AE}" pid="3" name="KSOProductBuildVer">
    <vt:lpwstr>2052-12.1.0.25225</vt:lpwstr>
  </property>
  <property fmtid="{D5CDD505-2E9C-101B-9397-08002B2CF9AE}" pid="4" name="ICV">
    <vt:lpwstr>039953271AF54D0D9AC88B34F19C75DD_12</vt:lpwstr>
  </property>
</Properties>
</file>