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5EF22B">
      <w:pPr>
        <w:widowControl/>
        <w:jc w:val="left"/>
        <w:rPr>
          <w:rFonts w:ascii="Helvetica" w:hAnsi="Helvetica" w:eastAsia="宋体" w:cs="Helvetica"/>
          <w:color w:val="000000"/>
          <w:kern w:val="0"/>
          <w:sz w:val="27"/>
          <w:szCs w:val="27"/>
        </w:rPr>
      </w:pPr>
      <w:bookmarkStart w:id="0" w:name="_GoBack"/>
      <w:bookmarkEnd w:id="0"/>
      <w:r>
        <w:rPr>
          <w:rFonts w:ascii="Helvetica" w:hAnsi="Helvetica" w:eastAsia="宋体" w:cs="Helvetica"/>
          <w:color w:val="000000"/>
          <w:kern w:val="0"/>
          <w:sz w:val="27"/>
          <w:szCs w:val="27"/>
        </w:rPr>
        <w:br w:type="textWrapping"/>
      </w:r>
      <w:r>
        <w:rPr>
          <w:rFonts w:ascii="Helvetica" w:hAnsi="Helvetica" w:eastAsia="宋体" w:cs="Helvetica"/>
          <w:color w:val="000000"/>
          <w:kern w:val="0"/>
          <w:sz w:val="27"/>
          <w:szCs w:val="27"/>
        </w:rPr>
        <w:drawing>
          <wp:inline distT="0" distB="0" distL="0" distR="0">
            <wp:extent cx="228600" cy="114300"/>
            <wp:effectExtent l="0" t="0" r="0" b="0"/>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228600" cy="114300"/>
                    </a:xfrm>
                    <a:prstGeom prst="rect">
                      <a:avLst/>
                    </a:prstGeom>
                    <a:noFill/>
                    <a:ln>
                      <a:noFill/>
                    </a:ln>
                  </pic:spPr>
                </pic:pic>
              </a:graphicData>
            </a:graphic>
          </wp:inline>
        </w:drawing>
      </w:r>
    </w:p>
    <w:p w14:paraId="757D1E9B">
      <w:pPr>
        <w:widowControl/>
        <w:spacing w:line="342" w:lineRule="atLeast"/>
        <w:jc w:val="left"/>
        <w:rPr>
          <w:rFonts w:ascii="Segoe UI" w:hAnsi="Segoe UI" w:eastAsia="宋体" w:cs="Segoe UI"/>
          <w:color w:val="1A1A1A"/>
          <w:kern w:val="0"/>
          <w:sz w:val="29"/>
          <w:szCs w:val="29"/>
        </w:rPr>
      </w:pPr>
      <w:r>
        <w:rPr>
          <w:rFonts w:ascii="Segoe UI" w:hAnsi="Segoe UI" w:eastAsia="宋体" w:cs="Segoe UI"/>
          <w:color w:val="1A1A1A"/>
          <w:kern w:val="0"/>
          <w:sz w:val="29"/>
          <w:szCs w:val="29"/>
        </w:rPr>
        <w:t>竞买公告</w:t>
      </w:r>
    </w:p>
    <w:p w14:paraId="5C0C08FB">
      <w:pPr>
        <w:widowControl/>
        <w:jc w:val="left"/>
        <w:rPr>
          <w:rFonts w:ascii="Helvetica" w:hAnsi="Helvetica" w:eastAsia="宋体" w:cs="Helvetica"/>
          <w:color w:val="000000"/>
          <w:kern w:val="0"/>
          <w:sz w:val="27"/>
          <w:szCs w:val="27"/>
        </w:rPr>
      </w:pPr>
      <w:r>
        <w:rPr>
          <w:rFonts w:ascii="Helvetica" w:hAnsi="Helvetica" w:eastAsia="宋体" w:cs="Helvetica"/>
          <w:color w:val="000000"/>
          <w:kern w:val="0"/>
          <w:sz w:val="27"/>
          <w:szCs w:val="27"/>
        </w:rPr>
        <w:drawing>
          <wp:inline distT="0" distB="0" distL="0" distR="0">
            <wp:extent cx="228600" cy="114300"/>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228600" cy="114300"/>
                    </a:xfrm>
                    <a:prstGeom prst="rect">
                      <a:avLst/>
                    </a:prstGeom>
                    <a:noFill/>
                    <a:ln>
                      <a:noFill/>
                    </a:ln>
                  </pic:spPr>
                </pic:pic>
              </a:graphicData>
            </a:graphic>
          </wp:inline>
        </w:drawing>
      </w:r>
    </w:p>
    <w:p w14:paraId="54C17BF2">
      <w:pPr>
        <w:widowControl/>
        <w:shd w:val="clear" w:color="auto" w:fill="FFFFFF"/>
        <w:spacing w:after="75" w:line="420" w:lineRule="atLeast"/>
        <w:ind w:firstLine="600"/>
        <w:jc w:val="left"/>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河北</w:t>
      </w:r>
      <w:r>
        <w:rPr>
          <w:rFonts w:hint="eastAsia" w:ascii="仿宋" w:hAnsi="仿宋" w:eastAsia="仿宋" w:cs="Helvetica"/>
          <w:color w:val="000000"/>
          <w:kern w:val="0"/>
          <w:sz w:val="24"/>
          <w:szCs w:val="24"/>
          <w:lang w:val="en-US" w:eastAsia="zh-CN"/>
        </w:rPr>
        <w:t>通昊建筑板材</w:t>
      </w:r>
      <w:r>
        <w:rPr>
          <w:rFonts w:hint="eastAsia" w:ascii="仿宋" w:hAnsi="仿宋" w:eastAsia="仿宋" w:cs="Helvetica"/>
          <w:color w:val="000000"/>
          <w:kern w:val="0"/>
          <w:sz w:val="24"/>
          <w:szCs w:val="24"/>
        </w:rPr>
        <w:t>有限公司破产管理人将于</w:t>
      </w:r>
      <w:r>
        <w:rPr>
          <w:rFonts w:hint="eastAsia" w:ascii="仿宋" w:hAnsi="仿宋" w:eastAsia="仿宋" w:cs="Helvetica"/>
          <w:b/>
          <w:bCs/>
          <w:color w:val="FF0000"/>
          <w:kern w:val="0"/>
          <w:sz w:val="24"/>
          <w:szCs w:val="24"/>
        </w:rPr>
        <w:t>202</w:t>
      </w:r>
      <w:r>
        <w:rPr>
          <w:rFonts w:hint="eastAsia" w:ascii="仿宋" w:hAnsi="仿宋" w:eastAsia="仿宋" w:cs="Helvetica"/>
          <w:b/>
          <w:bCs/>
          <w:color w:val="FF0000"/>
          <w:kern w:val="0"/>
          <w:sz w:val="24"/>
          <w:szCs w:val="24"/>
          <w:lang w:val="en-US" w:eastAsia="zh-CN"/>
        </w:rPr>
        <w:t>6</w:t>
      </w:r>
      <w:r>
        <w:rPr>
          <w:rFonts w:hint="eastAsia" w:ascii="仿宋" w:hAnsi="仿宋" w:eastAsia="仿宋" w:cs="Helvetica"/>
          <w:b/>
          <w:bCs/>
          <w:color w:val="FF0000"/>
          <w:kern w:val="0"/>
          <w:sz w:val="24"/>
          <w:szCs w:val="24"/>
        </w:rPr>
        <w:t>年</w:t>
      </w:r>
      <w:r>
        <w:rPr>
          <w:rFonts w:hint="eastAsia" w:ascii="仿宋" w:hAnsi="仿宋" w:eastAsia="仿宋" w:cs="Helvetica"/>
          <w:b/>
          <w:bCs/>
          <w:color w:val="FF0000"/>
          <w:kern w:val="0"/>
          <w:sz w:val="24"/>
          <w:szCs w:val="24"/>
          <w:lang w:val="en-US" w:eastAsia="zh-CN"/>
        </w:rPr>
        <w:t>3</w:t>
      </w:r>
      <w:r>
        <w:rPr>
          <w:rFonts w:hint="eastAsia" w:ascii="仿宋" w:hAnsi="仿宋" w:eastAsia="仿宋" w:cs="Helvetica"/>
          <w:b/>
          <w:bCs/>
          <w:color w:val="FF0000"/>
          <w:kern w:val="0"/>
          <w:sz w:val="24"/>
          <w:szCs w:val="24"/>
        </w:rPr>
        <w:t>月</w:t>
      </w:r>
      <w:r>
        <w:rPr>
          <w:rFonts w:hint="eastAsia" w:ascii="仿宋" w:hAnsi="仿宋" w:eastAsia="仿宋" w:cs="Helvetica"/>
          <w:b/>
          <w:bCs/>
          <w:color w:val="FF0000"/>
          <w:kern w:val="0"/>
          <w:sz w:val="24"/>
          <w:szCs w:val="24"/>
          <w:lang w:val="en-US" w:eastAsia="zh-CN"/>
        </w:rPr>
        <w:t xml:space="preserve">2 </w:t>
      </w:r>
      <w:r>
        <w:rPr>
          <w:rFonts w:hint="eastAsia" w:ascii="仿宋" w:hAnsi="仿宋" w:eastAsia="仿宋" w:cs="Helvetica"/>
          <w:b/>
          <w:bCs/>
          <w:color w:val="FF0000"/>
          <w:kern w:val="0"/>
          <w:sz w:val="24"/>
          <w:szCs w:val="24"/>
        </w:rPr>
        <w:t>日10时至202</w:t>
      </w:r>
      <w:r>
        <w:rPr>
          <w:rFonts w:hint="eastAsia" w:ascii="仿宋" w:hAnsi="仿宋" w:eastAsia="仿宋" w:cs="Helvetica"/>
          <w:b/>
          <w:bCs/>
          <w:color w:val="FF0000"/>
          <w:kern w:val="0"/>
          <w:sz w:val="24"/>
          <w:szCs w:val="24"/>
          <w:lang w:val="en-US" w:eastAsia="zh-CN"/>
        </w:rPr>
        <w:t>6</w:t>
      </w:r>
      <w:r>
        <w:rPr>
          <w:rFonts w:hint="eastAsia" w:ascii="仿宋" w:hAnsi="仿宋" w:eastAsia="仿宋" w:cs="Helvetica"/>
          <w:b/>
          <w:bCs/>
          <w:color w:val="FF0000"/>
          <w:kern w:val="0"/>
          <w:sz w:val="24"/>
          <w:szCs w:val="24"/>
        </w:rPr>
        <w:t>年</w:t>
      </w:r>
      <w:r>
        <w:rPr>
          <w:rFonts w:hint="eastAsia" w:ascii="仿宋" w:hAnsi="仿宋" w:eastAsia="仿宋" w:cs="Helvetica"/>
          <w:b/>
          <w:bCs/>
          <w:color w:val="FF0000"/>
          <w:kern w:val="0"/>
          <w:sz w:val="24"/>
          <w:szCs w:val="24"/>
          <w:lang w:val="en-US" w:eastAsia="zh-CN"/>
        </w:rPr>
        <w:t>3</w:t>
      </w:r>
      <w:r>
        <w:rPr>
          <w:rFonts w:hint="eastAsia" w:ascii="仿宋" w:hAnsi="仿宋" w:eastAsia="仿宋" w:cs="Helvetica"/>
          <w:b/>
          <w:bCs/>
          <w:color w:val="FF0000"/>
          <w:kern w:val="0"/>
          <w:sz w:val="24"/>
          <w:szCs w:val="24"/>
        </w:rPr>
        <w:t>月</w:t>
      </w:r>
      <w:r>
        <w:rPr>
          <w:rFonts w:hint="eastAsia" w:ascii="仿宋" w:hAnsi="仿宋" w:eastAsia="仿宋" w:cs="Helvetica"/>
          <w:b/>
          <w:bCs/>
          <w:color w:val="FF0000"/>
          <w:kern w:val="0"/>
          <w:sz w:val="24"/>
          <w:szCs w:val="24"/>
          <w:lang w:val="en-US" w:eastAsia="zh-CN"/>
        </w:rPr>
        <w:t xml:space="preserve"> 3</w:t>
      </w:r>
      <w:r>
        <w:rPr>
          <w:rFonts w:hint="eastAsia" w:ascii="仿宋" w:hAnsi="仿宋" w:eastAsia="仿宋" w:cs="Helvetica"/>
          <w:b/>
          <w:bCs/>
          <w:color w:val="FF0000"/>
          <w:kern w:val="0"/>
          <w:sz w:val="24"/>
          <w:szCs w:val="24"/>
        </w:rPr>
        <w:t>日10时止</w:t>
      </w:r>
      <w:r>
        <w:rPr>
          <w:rFonts w:hint="eastAsia" w:ascii="仿宋" w:hAnsi="仿宋" w:eastAsia="仿宋" w:cs="Helvetica"/>
          <w:color w:val="000000"/>
          <w:kern w:val="0"/>
          <w:sz w:val="24"/>
          <w:szCs w:val="24"/>
        </w:rPr>
        <w:t>（延时除外）在京东拍卖破产强清平台（处置单位：河北</w:t>
      </w:r>
      <w:r>
        <w:rPr>
          <w:rFonts w:hint="eastAsia" w:ascii="仿宋" w:hAnsi="仿宋" w:eastAsia="仿宋" w:cs="Helvetica"/>
          <w:color w:val="000000"/>
          <w:kern w:val="0"/>
          <w:sz w:val="24"/>
          <w:szCs w:val="24"/>
          <w:lang w:val="en-US" w:eastAsia="zh-CN"/>
        </w:rPr>
        <w:t>通昊建筑板材</w:t>
      </w:r>
      <w:r>
        <w:rPr>
          <w:rFonts w:hint="eastAsia" w:ascii="仿宋" w:hAnsi="仿宋" w:eastAsia="仿宋" w:cs="Helvetica"/>
          <w:color w:val="000000"/>
          <w:kern w:val="0"/>
          <w:sz w:val="24"/>
          <w:szCs w:val="24"/>
        </w:rPr>
        <w:t>有限公司破产管理人，监督单位：河北省</w:t>
      </w:r>
      <w:r>
        <w:rPr>
          <w:rFonts w:hint="eastAsia" w:ascii="仿宋" w:hAnsi="仿宋" w:eastAsia="仿宋" w:cs="Helvetica"/>
          <w:color w:val="000000"/>
          <w:kern w:val="0"/>
          <w:sz w:val="24"/>
          <w:szCs w:val="24"/>
          <w:lang w:val="en-US" w:eastAsia="zh-CN"/>
        </w:rPr>
        <w:t>饶阳县</w:t>
      </w:r>
      <w:r>
        <w:rPr>
          <w:rFonts w:hint="eastAsia" w:ascii="仿宋" w:hAnsi="仿宋" w:eastAsia="仿宋" w:cs="Helvetica"/>
          <w:color w:val="000000"/>
          <w:kern w:val="0"/>
          <w:sz w:val="24"/>
          <w:szCs w:val="24"/>
        </w:rPr>
        <w:t>人民法院，网址：https://auction.jd.com/bankrupt.html）进行公开拍卖活动，现公告如下：</w:t>
      </w:r>
    </w:p>
    <w:p w14:paraId="19216ED8">
      <w:pPr>
        <w:pStyle w:val="11"/>
        <w:rPr>
          <w:rFonts w:hint="eastAsia" w:ascii="仿宋" w:hAnsi="仿宋" w:eastAsia="仿宋" w:cs="Helvetica"/>
          <w:color w:val="000000"/>
          <w:kern w:val="0"/>
          <w:sz w:val="24"/>
          <w:szCs w:val="24"/>
          <w:lang w:val="en-US" w:eastAsia="zh-CN" w:bidi="ar-SA"/>
        </w:rPr>
      </w:pPr>
      <w:r>
        <w:rPr>
          <w:rFonts w:hint="eastAsia" w:ascii="仿宋" w:hAnsi="仿宋" w:eastAsia="仿宋" w:cs="Helvetica"/>
          <w:color w:val="000000"/>
          <w:kern w:val="0"/>
          <w:sz w:val="24"/>
          <w:szCs w:val="24"/>
        </w:rPr>
        <w:t>一、拍卖标的</w:t>
      </w:r>
      <w:r>
        <w:rPr>
          <w:rFonts w:hint="eastAsia" w:ascii="仿宋" w:hAnsi="仿宋" w:eastAsia="仿宋" w:cs="Helvetica"/>
          <w:color w:val="000000"/>
          <w:kern w:val="0"/>
          <w:sz w:val="24"/>
          <w:szCs w:val="24"/>
        </w:rPr>
        <w:br w:type="textWrapping"/>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lang w:val="en-US" w:eastAsia="zh-CN" w:bidi="ar-SA"/>
        </w:rPr>
        <w:t>拍卖标的：河北通昊建筑板材有限公司应收债权共计：33535623.57元</w:t>
      </w:r>
    </w:p>
    <w:p w14:paraId="454535B8">
      <w:pPr>
        <w:pStyle w:val="11"/>
        <w:ind w:firstLine="480" w:firstLineChars="200"/>
        <w:rPr>
          <w:rFonts w:hint="eastAsia" w:ascii="仿宋" w:hAnsi="仿宋" w:eastAsia="仿宋" w:cs="Helvetica"/>
          <w:color w:val="000000" w:themeColor="text1"/>
          <w:kern w:val="0"/>
          <w:sz w:val="24"/>
          <w:szCs w:val="24"/>
          <w:lang w:val="en-US" w:eastAsia="zh-CN"/>
          <w14:textFill>
            <w14:solidFill>
              <w14:schemeClr w14:val="tx1"/>
            </w14:solidFill>
          </w14:textFill>
        </w:rPr>
      </w:pPr>
      <w:r>
        <w:rPr>
          <w:rFonts w:hint="default" w:ascii="仿宋" w:hAnsi="仿宋" w:eastAsia="仿宋" w:cs="Helvetica"/>
          <w:color w:val="000000"/>
          <w:kern w:val="0"/>
          <w:sz w:val="24"/>
          <w:szCs w:val="24"/>
          <w:lang w:val="en-US" w:eastAsia="zh-CN" w:bidi="ar-SA"/>
        </w:rPr>
        <w:t>衡水中瑞房地产开发有限公司预付账款32421273.57元；应收霁月轩（河北）食品有限公司1107350</w:t>
      </w:r>
      <w:r>
        <w:rPr>
          <w:rFonts w:hint="eastAsia" w:ascii="仿宋" w:hAnsi="仿宋" w:eastAsia="仿宋" w:cs="Helvetica"/>
          <w:color w:val="000000"/>
          <w:kern w:val="0"/>
          <w:sz w:val="24"/>
          <w:szCs w:val="24"/>
          <w:lang w:val="en-US" w:eastAsia="zh-CN" w:bidi="ar-SA"/>
        </w:rPr>
        <w:t>元</w:t>
      </w:r>
      <w:r>
        <w:rPr>
          <w:rFonts w:hint="default" w:ascii="仿宋" w:hAnsi="仿宋" w:eastAsia="仿宋" w:cs="Helvetica"/>
          <w:color w:val="000000"/>
          <w:kern w:val="0"/>
          <w:sz w:val="24"/>
          <w:szCs w:val="24"/>
          <w:lang w:val="en-US" w:eastAsia="zh-CN" w:bidi="ar-SA"/>
        </w:rPr>
        <w:t>，宋春江7000元</w:t>
      </w:r>
      <w:r>
        <w:rPr>
          <w:rFonts w:hint="eastAsia" w:ascii="仿宋" w:hAnsi="仿宋" w:eastAsia="仿宋" w:cs="Helvetica"/>
          <w:color w:val="000000" w:themeColor="text1"/>
          <w:kern w:val="0"/>
          <w:sz w:val="24"/>
          <w:szCs w:val="24"/>
          <w:lang w:val="en-US" w:eastAsia="zh-CN"/>
          <w14:textFill>
            <w14:solidFill>
              <w14:schemeClr w14:val="tx1"/>
            </w14:solidFill>
          </w14:textFill>
        </w:rPr>
        <w:t xml:space="preserve"> </w:t>
      </w:r>
    </w:p>
    <w:p w14:paraId="3AA7CB7E">
      <w:pPr>
        <w:pStyle w:val="11"/>
        <w:ind w:firstLine="480" w:firstLineChars="200"/>
        <w:rPr>
          <w:rFonts w:hint="default" w:ascii="仿宋" w:hAnsi="仿宋" w:eastAsia="仿宋" w:cs="Helvetica"/>
          <w:color w:val="000000" w:themeColor="text1"/>
          <w:kern w:val="0"/>
          <w:sz w:val="24"/>
          <w:szCs w:val="24"/>
          <w:lang w:val="en-US" w:eastAsia="zh-CN"/>
          <w14:textFill>
            <w14:solidFill>
              <w14:schemeClr w14:val="tx1"/>
            </w14:solidFill>
          </w14:textFill>
        </w:rPr>
      </w:pPr>
    </w:p>
    <w:p w14:paraId="1AAA69F2">
      <w:pPr>
        <w:pStyle w:val="11"/>
        <w:rPr>
          <w:rFonts w:hint="eastAsia" w:ascii="仿宋" w:hAnsi="仿宋" w:eastAsia="仿宋" w:cs="Helvetica"/>
          <w:color w:val="FF0000"/>
          <w:kern w:val="0"/>
          <w:sz w:val="24"/>
          <w:szCs w:val="24"/>
        </w:rPr>
      </w:pPr>
      <w:r>
        <w:rPr>
          <w:rFonts w:hint="eastAsia" w:ascii="仿宋" w:hAnsi="仿宋" w:eastAsia="仿宋" w:cs="Helvetica"/>
          <w:color w:val="FF0000"/>
          <w:kern w:val="0"/>
          <w:sz w:val="24"/>
          <w:szCs w:val="24"/>
          <w:lang w:val="en-US" w:eastAsia="zh-CN" w:bidi="ar-SA"/>
        </w:rPr>
        <w:t>起拍价为：17170239.26 元，保证金为: 3400000 元，增价幅度为：80000元及其整数倍。</w:t>
      </w:r>
    </w:p>
    <w:p w14:paraId="11B3092E">
      <w:pPr>
        <w:widowControl/>
        <w:shd w:val="clear" w:color="auto" w:fill="FFFFFF"/>
        <w:spacing w:after="75" w:line="420" w:lineRule="atLeast"/>
        <w:ind w:firstLine="600"/>
        <w:jc w:val="left"/>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对上述标的物权属有异议者，请于</w:t>
      </w:r>
      <w:r>
        <w:rPr>
          <w:rFonts w:hint="eastAsia" w:ascii="仿宋" w:hAnsi="仿宋" w:eastAsia="仿宋" w:cs="Helvetica"/>
          <w:b/>
          <w:bCs/>
          <w:color w:val="FF0000"/>
          <w:kern w:val="0"/>
          <w:sz w:val="24"/>
          <w:szCs w:val="24"/>
        </w:rPr>
        <w:t>202</w:t>
      </w:r>
      <w:r>
        <w:rPr>
          <w:rFonts w:hint="eastAsia" w:ascii="仿宋" w:hAnsi="仿宋" w:eastAsia="仿宋" w:cs="Helvetica"/>
          <w:b/>
          <w:bCs/>
          <w:color w:val="FF0000"/>
          <w:kern w:val="0"/>
          <w:sz w:val="24"/>
          <w:szCs w:val="24"/>
          <w:lang w:val="en-US" w:eastAsia="zh-CN"/>
        </w:rPr>
        <w:t>6</w:t>
      </w:r>
      <w:r>
        <w:rPr>
          <w:rFonts w:hint="eastAsia" w:ascii="仿宋" w:hAnsi="仿宋" w:eastAsia="仿宋" w:cs="Helvetica"/>
          <w:b/>
          <w:bCs/>
          <w:color w:val="FF0000"/>
          <w:kern w:val="0"/>
          <w:sz w:val="24"/>
          <w:szCs w:val="24"/>
        </w:rPr>
        <w:t>年</w:t>
      </w:r>
      <w:r>
        <w:rPr>
          <w:rFonts w:hint="eastAsia" w:ascii="仿宋" w:hAnsi="仿宋" w:eastAsia="仿宋" w:cs="Helvetica"/>
          <w:b/>
          <w:bCs/>
          <w:color w:val="FF0000"/>
          <w:kern w:val="0"/>
          <w:sz w:val="24"/>
          <w:szCs w:val="24"/>
          <w:lang w:val="en-US" w:eastAsia="zh-CN"/>
        </w:rPr>
        <w:t>2</w:t>
      </w:r>
      <w:r>
        <w:rPr>
          <w:rFonts w:hint="eastAsia" w:ascii="仿宋" w:hAnsi="仿宋" w:eastAsia="仿宋" w:cs="Helvetica"/>
          <w:b/>
          <w:bCs/>
          <w:color w:val="FF0000"/>
          <w:kern w:val="0"/>
          <w:sz w:val="24"/>
          <w:szCs w:val="24"/>
        </w:rPr>
        <w:t>月</w:t>
      </w:r>
      <w:r>
        <w:rPr>
          <w:rFonts w:hint="eastAsia" w:ascii="仿宋" w:hAnsi="仿宋" w:eastAsia="仿宋" w:cs="Helvetica"/>
          <w:b/>
          <w:bCs/>
          <w:color w:val="FF0000"/>
          <w:kern w:val="0"/>
          <w:sz w:val="24"/>
          <w:szCs w:val="24"/>
          <w:lang w:val="en-US" w:eastAsia="zh-CN"/>
        </w:rPr>
        <w:t xml:space="preserve"> 27</w:t>
      </w:r>
      <w:r>
        <w:rPr>
          <w:rFonts w:hint="eastAsia" w:ascii="仿宋" w:hAnsi="仿宋" w:eastAsia="仿宋" w:cs="Helvetica"/>
          <w:b/>
          <w:bCs/>
          <w:color w:val="FF0000"/>
          <w:kern w:val="0"/>
          <w:sz w:val="24"/>
          <w:szCs w:val="24"/>
        </w:rPr>
        <w:t>日前</w:t>
      </w:r>
      <w:r>
        <w:rPr>
          <w:rFonts w:hint="eastAsia" w:ascii="仿宋" w:hAnsi="仿宋" w:eastAsia="仿宋" w:cs="Helvetica"/>
          <w:color w:val="000000"/>
          <w:kern w:val="0"/>
          <w:sz w:val="24"/>
          <w:szCs w:val="24"/>
        </w:rPr>
        <w:t>与管理人联系，逾期视为无异议(联系人:</w:t>
      </w:r>
      <w:r>
        <w:rPr>
          <w:rFonts w:hint="eastAsia" w:ascii="仿宋" w:hAnsi="仿宋" w:eastAsia="仿宋" w:cs="Helvetica"/>
          <w:color w:val="000000"/>
          <w:kern w:val="0"/>
          <w:sz w:val="24"/>
          <w:szCs w:val="24"/>
          <w:lang w:val="en-US" w:eastAsia="zh-CN"/>
        </w:rPr>
        <w:t>宋</w:t>
      </w:r>
      <w:r>
        <w:rPr>
          <w:rFonts w:hint="eastAsia" w:ascii="仿宋" w:hAnsi="仿宋" w:eastAsia="仿宋" w:cs="Helvetica"/>
          <w:color w:val="000000"/>
          <w:kern w:val="0"/>
          <w:sz w:val="24"/>
          <w:szCs w:val="24"/>
        </w:rPr>
        <w:t>律师1</w:t>
      </w:r>
      <w:r>
        <w:rPr>
          <w:rFonts w:hint="eastAsia" w:ascii="仿宋" w:hAnsi="仿宋" w:eastAsia="仿宋" w:cs="Helvetica"/>
          <w:color w:val="000000"/>
          <w:kern w:val="0"/>
          <w:sz w:val="24"/>
          <w:szCs w:val="24"/>
          <w:lang w:val="en-US" w:eastAsia="zh-CN"/>
        </w:rPr>
        <w:t>3833887542</w:t>
      </w:r>
      <w:r>
        <w:rPr>
          <w:rFonts w:hint="eastAsia" w:ascii="仿宋" w:hAnsi="仿宋" w:eastAsia="仿宋" w:cs="Helvetica"/>
          <w:color w:val="000000"/>
          <w:kern w:val="0"/>
          <w:sz w:val="24"/>
          <w:szCs w:val="24"/>
        </w:rPr>
        <w:t>)。</w:t>
      </w:r>
    </w:p>
    <w:p w14:paraId="1C73F730">
      <w:pPr>
        <w:widowControl/>
        <w:shd w:val="clear" w:color="auto" w:fill="FFFFFF"/>
        <w:spacing w:after="75"/>
        <w:ind w:firstLine="600"/>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二、咨询、展示看样的时间与方式：</w:t>
      </w:r>
    </w:p>
    <w:p w14:paraId="27DEBF3C">
      <w:pPr>
        <w:widowControl/>
        <w:shd w:val="clear" w:color="auto" w:fill="FFFFFF"/>
        <w:spacing w:after="75" w:line="495" w:lineRule="atLeast"/>
        <w:ind w:firstLine="600"/>
        <w:jc w:val="left"/>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1.公告期间（节假日休息）接受咨询，咨询时间为工作日9:00-16:30，有意者请与管理人（</w:t>
      </w:r>
      <w:r>
        <w:rPr>
          <w:rFonts w:hint="eastAsia" w:ascii="仿宋" w:hAnsi="仿宋" w:eastAsia="仿宋" w:cs="Helvetica"/>
          <w:color w:val="000000"/>
          <w:kern w:val="0"/>
          <w:sz w:val="24"/>
          <w:szCs w:val="24"/>
          <w:lang w:val="en-US" w:eastAsia="zh-CN"/>
        </w:rPr>
        <w:t>宋</w:t>
      </w:r>
      <w:r>
        <w:rPr>
          <w:rFonts w:hint="eastAsia" w:ascii="仿宋" w:hAnsi="仿宋" w:eastAsia="仿宋" w:cs="Helvetica"/>
          <w:color w:val="000000"/>
          <w:kern w:val="0"/>
          <w:sz w:val="24"/>
          <w:szCs w:val="24"/>
        </w:rPr>
        <w:t>律师1</w:t>
      </w:r>
      <w:r>
        <w:rPr>
          <w:rFonts w:hint="eastAsia" w:ascii="仿宋" w:hAnsi="仿宋" w:eastAsia="仿宋" w:cs="Helvetica"/>
          <w:color w:val="000000"/>
          <w:kern w:val="0"/>
          <w:sz w:val="24"/>
          <w:szCs w:val="24"/>
          <w:lang w:val="en-US" w:eastAsia="zh-CN"/>
        </w:rPr>
        <w:t>3833887542</w:t>
      </w:r>
      <w:r>
        <w:rPr>
          <w:rFonts w:hint="eastAsia" w:ascii="仿宋" w:hAnsi="仿宋" w:eastAsia="仿宋" w:cs="Helvetica"/>
          <w:color w:val="000000"/>
          <w:kern w:val="0"/>
          <w:sz w:val="24"/>
          <w:szCs w:val="24"/>
        </w:rPr>
        <w:t>）联系具体事宜。</w:t>
      </w:r>
    </w:p>
    <w:p w14:paraId="275B2FA0">
      <w:pPr>
        <w:widowControl/>
        <w:shd w:val="clear" w:color="auto" w:fill="FFFFFF"/>
        <w:spacing w:after="75"/>
        <w:ind w:left="600"/>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2.因拍卖标的为债权类资产，故本标的不安排现场看样。</w:t>
      </w:r>
    </w:p>
    <w:p w14:paraId="703EC3E5">
      <w:pPr>
        <w:widowControl/>
        <w:shd w:val="clear" w:color="auto" w:fill="FFFFFF"/>
        <w:spacing w:after="75" w:line="495" w:lineRule="atLeast"/>
        <w:ind w:firstLine="600"/>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3.管理人及法院不承担拍卖标的瑕疵保证。竞买人决定参与竞买的，视为对拍卖财产完全了解，并接受拍卖财产一切已知和未知瑕疵。</w:t>
      </w:r>
    </w:p>
    <w:p w14:paraId="32EE1FEE">
      <w:pPr>
        <w:widowControl/>
        <w:shd w:val="clear" w:color="auto" w:fill="FFFFFF"/>
        <w:spacing w:after="75" w:line="420" w:lineRule="atLeast"/>
        <w:ind w:firstLine="600"/>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三、标的已知优先购买权人：无</w:t>
      </w:r>
    </w:p>
    <w:p w14:paraId="744BAB20">
      <w:pPr>
        <w:widowControl/>
        <w:shd w:val="clear" w:color="auto" w:fill="FFFFFF"/>
        <w:spacing w:after="75" w:line="420" w:lineRule="atLeast"/>
        <w:ind w:firstLine="600"/>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四、拍卖方式：设有保留价的增价拍卖方式，保留价等于起拍价，至少一人报名且出价不低于起拍价，方可成交。</w:t>
      </w:r>
    </w:p>
    <w:p w14:paraId="15F0D746">
      <w:pPr>
        <w:widowControl/>
        <w:shd w:val="clear" w:color="auto" w:fill="FFFFFF"/>
        <w:spacing w:after="75" w:line="420" w:lineRule="atLeast"/>
        <w:ind w:firstLine="600"/>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五、竞价方式</w:t>
      </w:r>
    </w:p>
    <w:p w14:paraId="537F5A97">
      <w:pPr>
        <w:widowControl/>
        <w:shd w:val="clear" w:color="auto" w:fill="FFFFFF"/>
        <w:spacing w:after="75" w:line="420" w:lineRule="atLeast"/>
        <w:ind w:firstLine="600"/>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（一）竞价从起拍价开始以递增出价方式竞价，</w:t>
      </w:r>
      <w:r>
        <w:rPr>
          <w:rFonts w:hint="eastAsia" w:ascii="仿宋" w:hAnsi="仿宋" w:eastAsia="仿宋" w:cs="Helvetica"/>
          <w:color w:val="FF0000"/>
          <w:kern w:val="0"/>
          <w:sz w:val="24"/>
          <w:szCs w:val="24"/>
        </w:rPr>
        <w:t>增价幅度为</w:t>
      </w:r>
      <w:r>
        <w:rPr>
          <w:rFonts w:hint="eastAsia" w:ascii="仿宋" w:hAnsi="仿宋" w:eastAsia="仿宋" w:cs="Helvetica"/>
          <w:color w:val="FF0000"/>
          <w:kern w:val="0"/>
          <w:sz w:val="24"/>
          <w:szCs w:val="24"/>
          <w:lang w:val="en-US" w:eastAsia="zh-CN"/>
        </w:rPr>
        <w:t>80000</w:t>
      </w:r>
      <w:r>
        <w:rPr>
          <w:rFonts w:hint="eastAsia" w:ascii="仿宋" w:hAnsi="仿宋" w:eastAsia="仿宋" w:cs="Helvetica"/>
          <w:color w:val="000000"/>
          <w:kern w:val="0"/>
          <w:sz w:val="24"/>
          <w:szCs w:val="24"/>
          <w:lang w:val="en-US" w:eastAsia="zh-CN"/>
        </w:rPr>
        <w:t>元</w:t>
      </w:r>
      <w:r>
        <w:rPr>
          <w:rFonts w:hint="eastAsia" w:ascii="仿宋" w:hAnsi="仿宋" w:eastAsia="仿宋" w:cs="Helvetica"/>
          <w:color w:val="000000"/>
          <w:kern w:val="0"/>
          <w:sz w:val="24"/>
          <w:szCs w:val="24"/>
        </w:rPr>
        <w:t>及其整数倍，竞买人以低于起拍价出价的无效。</w:t>
      </w:r>
    </w:p>
    <w:p w14:paraId="57C33B9B">
      <w:pPr>
        <w:widowControl/>
        <w:shd w:val="clear" w:color="auto" w:fill="FFFFFF"/>
        <w:spacing w:after="75" w:line="420" w:lineRule="atLeast"/>
        <w:ind w:firstLine="600"/>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（二）本次竞价活动设置延时出价功能，在竞价活动结束前，每最后5分钟如果有竞买人出价，就自动延迟5分钟。</w:t>
      </w:r>
    </w:p>
    <w:p w14:paraId="77D28099">
      <w:pPr>
        <w:widowControl/>
        <w:shd w:val="clear" w:color="auto" w:fill="FFFFFF"/>
        <w:spacing w:after="75" w:line="420" w:lineRule="atLeast"/>
        <w:ind w:firstLine="600"/>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（三）本次拍卖保留价为起拍价。</w:t>
      </w:r>
    </w:p>
    <w:p w14:paraId="619C5EDF">
      <w:pPr>
        <w:widowControl/>
        <w:shd w:val="clear" w:color="auto" w:fill="FFFFFF"/>
        <w:spacing w:after="75" w:line="420" w:lineRule="atLeast"/>
        <w:ind w:firstLine="600"/>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六、保证金与余款交纳</w:t>
      </w:r>
    </w:p>
    <w:p w14:paraId="46F0836D">
      <w:pPr>
        <w:widowControl/>
        <w:shd w:val="clear" w:color="auto" w:fill="FFFFFF"/>
        <w:spacing w:after="75" w:line="420" w:lineRule="atLeast"/>
        <w:ind w:firstLine="600"/>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第一次出价前，意向竞买人须在京东注册账号并通过实名认证（已注册京东账号需通过实名认证），在线支付竞买保证金，支付后系统自动冻结该笔保证金。竞价成交的，本标的物竞得者（以下称买受人）冻结的保证金将自动转为部分成交款，由京东结算给管理人指定账户；竞价结束后，未能竞得者的保证金以及竞价未成交的（即流拍的）竞买人的保证金在竞价活动结束后即时解冻，保证金冻结期间不计利息。</w:t>
      </w:r>
    </w:p>
    <w:p w14:paraId="27E29888">
      <w:pPr>
        <w:pStyle w:val="11"/>
        <w:rPr>
          <w:rFonts w:hint="default" w:eastAsiaTheme="minorEastAsia"/>
          <w:lang w:val="en-US" w:eastAsia="zh-CN"/>
        </w:rPr>
      </w:pPr>
      <w:r>
        <w:rPr>
          <w:rFonts w:hint="eastAsia" w:ascii="仿宋" w:hAnsi="仿宋" w:eastAsia="仿宋" w:cs="Helvetica"/>
          <w:color w:val="000000"/>
          <w:kern w:val="0"/>
          <w:sz w:val="24"/>
          <w:szCs w:val="24"/>
        </w:rPr>
        <w:t>竞价成交后，标的物竞得者原锁定的保证金自动转入管理人指定账户。买受人应于拍卖成交后</w:t>
      </w:r>
      <w:r>
        <w:rPr>
          <w:rFonts w:hint="eastAsia" w:ascii="仿宋" w:hAnsi="仿宋" w:eastAsia="仿宋" w:cs="Helvetica"/>
          <w:color w:val="000000"/>
          <w:kern w:val="0"/>
          <w:sz w:val="24"/>
          <w:szCs w:val="24"/>
          <w:highlight w:val="none"/>
        </w:rPr>
        <w:t>15日内</w:t>
      </w:r>
      <w:r>
        <w:rPr>
          <w:rFonts w:hint="eastAsia" w:ascii="仿宋" w:hAnsi="仿宋" w:eastAsia="仿宋" w:cs="Helvetica"/>
          <w:color w:val="000000"/>
          <w:kern w:val="0"/>
          <w:sz w:val="24"/>
          <w:szCs w:val="24"/>
        </w:rPr>
        <w:t>将竞价成交价余款（扣除保证金后的余款）缴入管理人指定账户（</w:t>
      </w:r>
      <w:r>
        <w:rPr>
          <w:rFonts w:ascii="Helvetica" w:hAnsi="Helvetica" w:eastAsia="宋体" w:cs="Helvetica"/>
          <w:color w:val="FF0000"/>
          <w:kern w:val="0"/>
          <w:sz w:val="27"/>
          <w:szCs w:val="27"/>
        </w:rPr>
        <w:t>账户名：</w:t>
      </w:r>
      <w:r>
        <w:rPr>
          <w:rFonts w:hint="eastAsia" w:ascii="Helvetica" w:hAnsi="Helvetica" w:eastAsia="宋体" w:cs="Helvetica"/>
          <w:color w:val="FF0000"/>
          <w:kern w:val="0"/>
          <w:sz w:val="27"/>
          <w:szCs w:val="27"/>
          <w:lang w:val="en-US" w:eastAsia="zh-CN"/>
        </w:rPr>
        <w:t>河北通昊建筑板材有限公司</w:t>
      </w:r>
      <w:r>
        <w:rPr>
          <w:rFonts w:ascii="Helvetica" w:hAnsi="Helvetica" w:eastAsia="宋体" w:cs="Helvetica"/>
          <w:color w:val="FF0000"/>
          <w:kern w:val="0"/>
          <w:sz w:val="27"/>
          <w:szCs w:val="27"/>
        </w:rPr>
        <w:t>管理人，开户行：中国民生银行股份有限公司衡水永兴路支行，账号：6</w:t>
      </w:r>
      <w:r>
        <w:rPr>
          <w:rFonts w:hint="eastAsia" w:ascii="Helvetica" w:hAnsi="Helvetica" w:eastAsia="宋体" w:cs="Helvetica"/>
          <w:color w:val="FF0000"/>
          <w:kern w:val="0"/>
          <w:sz w:val="27"/>
          <w:szCs w:val="27"/>
          <w:lang w:val="en-US" w:eastAsia="zh-CN"/>
        </w:rPr>
        <w:t>77004562</w:t>
      </w:r>
      <w:r>
        <w:rPr>
          <w:rFonts w:hint="eastAsia" w:ascii="仿宋" w:hAnsi="仿宋" w:eastAsia="仿宋" w:cs="Helvetica"/>
          <w:color w:val="000000"/>
          <w:kern w:val="0"/>
          <w:sz w:val="24"/>
          <w:szCs w:val="24"/>
        </w:rPr>
        <w:t>），并注明“竞拍余款”。逾期则视为买受人违约，竞买保证金不予退还</w:t>
      </w:r>
      <w:r>
        <w:rPr>
          <w:rFonts w:hint="eastAsia" w:ascii="仿宋" w:hAnsi="仿宋" w:eastAsia="仿宋" w:cs="Helvetica"/>
          <w:color w:val="000000"/>
          <w:kern w:val="0"/>
          <w:sz w:val="24"/>
          <w:szCs w:val="24"/>
          <w:lang w:val="en-US" w:eastAsia="zh-CN" w:bidi="ar-SA"/>
        </w:rPr>
        <w:t>。保证金数额不足以弥补拍卖费用损失以及重新拍卖价款低于原拍卖价款的差价的，管理人可向悔拍人追索。</w:t>
      </w:r>
    </w:p>
    <w:p w14:paraId="1365E08C">
      <w:pPr>
        <w:widowControl/>
        <w:shd w:val="clear" w:color="auto" w:fill="FFFFFF"/>
        <w:spacing w:after="75" w:line="420" w:lineRule="atLeast"/>
        <w:ind w:firstLine="600"/>
        <w:rPr>
          <w:rFonts w:ascii="Helvetica" w:hAnsi="Helvetica" w:eastAsia="宋体" w:cs="Helvetica"/>
          <w:color w:val="000000"/>
          <w:kern w:val="0"/>
          <w:sz w:val="27"/>
          <w:szCs w:val="27"/>
        </w:rPr>
      </w:pPr>
    </w:p>
    <w:p w14:paraId="4C59102D">
      <w:pPr>
        <w:widowControl/>
        <w:shd w:val="clear" w:color="auto" w:fill="FFFFFF"/>
        <w:spacing w:after="75" w:line="420" w:lineRule="atLeast"/>
        <w:ind w:firstLine="600"/>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本次拍卖买受人须承担拍卖成交价款，同时需要向京东平台另行支付标的成交价0.5％技术服务费(最高50万元)。</w:t>
      </w:r>
    </w:p>
    <w:p w14:paraId="0FCE645E">
      <w:pPr>
        <w:widowControl/>
        <w:shd w:val="clear" w:color="auto" w:fill="FFFFFF"/>
        <w:spacing w:after="75" w:line="420" w:lineRule="atLeast"/>
        <w:ind w:firstLine="600"/>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技术服务费由京东拍卖平台收取，付费方式及技术服务费金额等请详见京东网络破产拍卖平台收费规则。京东拍卖平台将向竞价成交买受人收取技术服务费，以京东拍卖平台的规定为准，详细情况请自行查阅京东拍卖平台《用户竞买服务协议》。</w:t>
      </w:r>
    </w:p>
    <w:p w14:paraId="7BED31B4">
      <w:pPr>
        <w:widowControl/>
        <w:shd w:val="clear" w:color="auto" w:fill="FFFFFF"/>
        <w:spacing w:after="75" w:line="420" w:lineRule="atLeast"/>
        <w:ind w:firstLine="600"/>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技术服务费，买受人逾期未全额缴纳的，京东拍卖平台可对其进行依法追缴。买受人缴纳技术服务费后如需索取发票的，由买受人联系京东拍卖平台开具。</w:t>
      </w:r>
    </w:p>
    <w:p w14:paraId="5598B223">
      <w:pPr>
        <w:widowControl/>
        <w:shd w:val="clear" w:color="auto" w:fill="FFFFFF"/>
        <w:spacing w:after="75" w:line="420" w:lineRule="atLeast"/>
        <w:ind w:firstLine="600"/>
        <w:rPr>
          <w:rFonts w:hint="eastAsia" w:ascii="仿宋" w:hAnsi="仿宋" w:eastAsia="仿宋" w:cs="Helvetica"/>
          <w:b/>
          <w:bCs/>
          <w:color w:val="FF0000"/>
          <w:kern w:val="0"/>
          <w:sz w:val="24"/>
          <w:szCs w:val="24"/>
        </w:rPr>
      </w:pPr>
      <w:r>
        <w:rPr>
          <w:rFonts w:hint="eastAsia" w:ascii="仿宋" w:hAnsi="仿宋" w:eastAsia="仿宋" w:cs="Helvetica"/>
          <w:b/>
          <w:bCs/>
          <w:color w:val="FF0000"/>
          <w:kern w:val="0"/>
          <w:sz w:val="24"/>
          <w:szCs w:val="24"/>
        </w:rPr>
        <w:t>综合服务费由拍卖辅助机构收取（按照成交价格的</w:t>
      </w:r>
      <w:r>
        <w:rPr>
          <w:rFonts w:hint="eastAsia" w:ascii="仿宋" w:hAnsi="仿宋" w:eastAsia="仿宋" w:cs="Helvetica"/>
          <w:b/>
          <w:bCs/>
          <w:color w:val="FF0000"/>
          <w:kern w:val="0"/>
          <w:sz w:val="24"/>
          <w:szCs w:val="24"/>
          <w:lang w:val="en-US" w:eastAsia="zh-CN"/>
        </w:rPr>
        <w:t>1.6</w:t>
      </w:r>
      <w:r>
        <w:rPr>
          <w:rFonts w:hint="eastAsia" w:ascii="仿宋" w:hAnsi="仿宋" w:eastAsia="仿宋" w:cs="Helvetica"/>
          <w:b/>
          <w:bCs/>
          <w:color w:val="FF0000"/>
          <w:kern w:val="0"/>
          <w:sz w:val="24"/>
          <w:szCs w:val="24"/>
        </w:rPr>
        <w:t>%计算）</w:t>
      </w:r>
    </w:p>
    <w:p w14:paraId="34FCD871">
      <w:pPr>
        <w:widowControl/>
        <w:shd w:val="clear" w:color="auto" w:fill="FFFFFF"/>
        <w:spacing w:after="75" w:line="420" w:lineRule="atLeast"/>
        <w:ind w:firstLine="600"/>
        <w:rPr>
          <w:rFonts w:hint="eastAsia" w:ascii="仿宋" w:hAnsi="仿宋" w:eastAsia="仿宋" w:cs="Helvetica"/>
          <w:b/>
          <w:bCs/>
          <w:color w:val="FF0000"/>
          <w:kern w:val="0"/>
          <w:sz w:val="24"/>
          <w:szCs w:val="24"/>
        </w:rPr>
      </w:pPr>
      <w:r>
        <w:rPr>
          <w:rFonts w:hint="eastAsia" w:ascii="仿宋" w:hAnsi="仿宋" w:eastAsia="仿宋" w:cs="Helvetica"/>
          <w:b/>
          <w:bCs/>
          <w:color w:val="FF0000"/>
          <w:kern w:val="0"/>
          <w:sz w:val="24"/>
          <w:szCs w:val="24"/>
        </w:rPr>
        <w:t>买受人需在成交之后3日内将综合服务费汇款至指定账户，账户信息如下：</w:t>
      </w:r>
    </w:p>
    <w:p w14:paraId="4722E53C">
      <w:pPr>
        <w:widowControl/>
        <w:shd w:val="clear" w:color="auto" w:fill="FFFFFF"/>
        <w:spacing w:after="75" w:line="420" w:lineRule="atLeast"/>
        <w:ind w:firstLine="600"/>
        <w:rPr>
          <w:rFonts w:hint="eastAsia" w:ascii="仿宋" w:hAnsi="仿宋" w:eastAsia="仿宋" w:cs="Helvetica"/>
          <w:b/>
          <w:bCs/>
          <w:color w:val="FF0000"/>
          <w:kern w:val="0"/>
          <w:sz w:val="24"/>
          <w:szCs w:val="24"/>
        </w:rPr>
      </w:pPr>
      <w:r>
        <w:rPr>
          <w:rFonts w:hint="eastAsia" w:ascii="仿宋" w:hAnsi="仿宋" w:eastAsia="仿宋" w:cs="Helvetica"/>
          <w:b/>
          <w:bCs/>
          <w:color w:val="FF0000"/>
          <w:kern w:val="0"/>
          <w:sz w:val="24"/>
          <w:szCs w:val="24"/>
        </w:rPr>
        <w:t>         收款账户：河北益瑞祥拍卖有限公司</w:t>
      </w:r>
    </w:p>
    <w:p w14:paraId="3A5D1082">
      <w:pPr>
        <w:widowControl/>
        <w:shd w:val="clear" w:color="auto" w:fill="FFFFFF"/>
        <w:spacing w:after="75" w:line="420" w:lineRule="atLeast"/>
        <w:ind w:firstLine="600"/>
        <w:rPr>
          <w:rFonts w:hint="eastAsia" w:ascii="仿宋" w:hAnsi="仿宋" w:eastAsia="仿宋" w:cs="Helvetica"/>
          <w:b/>
          <w:bCs/>
          <w:color w:val="FF0000"/>
          <w:kern w:val="0"/>
          <w:sz w:val="24"/>
          <w:szCs w:val="24"/>
        </w:rPr>
      </w:pPr>
      <w:r>
        <w:rPr>
          <w:rFonts w:hint="eastAsia" w:ascii="仿宋" w:hAnsi="仿宋" w:eastAsia="仿宋" w:cs="Helvetica"/>
          <w:b/>
          <w:bCs/>
          <w:color w:val="FF0000"/>
          <w:kern w:val="0"/>
          <w:sz w:val="24"/>
          <w:szCs w:val="24"/>
        </w:rPr>
        <w:t>         账户号码： 100500927594</w:t>
      </w:r>
    </w:p>
    <w:p w14:paraId="670513D1">
      <w:pPr>
        <w:widowControl/>
        <w:shd w:val="clear" w:color="auto" w:fill="FFFFFF"/>
        <w:spacing w:after="75" w:line="420" w:lineRule="atLeast"/>
        <w:ind w:firstLine="600"/>
        <w:rPr>
          <w:rFonts w:hint="eastAsia" w:ascii="仿宋" w:hAnsi="仿宋" w:eastAsia="仿宋" w:cs="Helvetica"/>
          <w:b/>
          <w:bCs/>
          <w:color w:val="FF0000"/>
          <w:kern w:val="0"/>
          <w:sz w:val="24"/>
          <w:szCs w:val="24"/>
        </w:rPr>
      </w:pPr>
      <w:r>
        <w:rPr>
          <w:rFonts w:hint="eastAsia" w:ascii="仿宋" w:hAnsi="仿宋" w:eastAsia="仿宋" w:cs="Helvetica"/>
          <w:color w:val="000000"/>
          <w:kern w:val="0"/>
          <w:sz w:val="24"/>
          <w:szCs w:val="24"/>
        </w:rPr>
        <w:t xml:space="preserve">    </w:t>
      </w:r>
      <w:r>
        <w:rPr>
          <w:rFonts w:hint="eastAsia" w:ascii="仿宋" w:hAnsi="仿宋" w:eastAsia="仿宋" w:cs="Helvetica"/>
          <w:b/>
          <w:bCs/>
          <w:color w:val="FF0000"/>
          <w:kern w:val="0"/>
          <w:sz w:val="24"/>
          <w:szCs w:val="24"/>
        </w:rPr>
        <w:t> </w:t>
      </w:r>
      <w:r>
        <w:rPr>
          <w:rFonts w:hint="eastAsia" w:ascii="仿宋" w:hAnsi="仿宋" w:eastAsia="仿宋" w:cs="Helvetica"/>
          <w:b/>
          <w:bCs/>
          <w:color w:val="FF0000"/>
          <w:kern w:val="0"/>
          <w:sz w:val="24"/>
          <w:szCs w:val="24"/>
          <w:lang w:val="en-US" w:eastAsia="zh-CN"/>
        </w:rPr>
        <w:t xml:space="preserve">  </w:t>
      </w:r>
      <w:r>
        <w:rPr>
          <w:rFonts w:hint="eastAsia" w:ascii="仿宋" w:hAnsi="仿宋" w:eastAsia="仿宋" w:cs="Helvetica"/>
          <w:b/>
          <w:bCs/>
          <w:color w:val="FF0000"/>
          <w:kern w:val="0"/>
          <w:sz w:val="24"/>
          <w:szCs w:val="24"/>
        </w:rPr>
        <w:t> 开户银行： 中国银行股份有限公司衡水车站支行</w:t>
      </w:r>
    </w:p>
    <w:p w14:paraId="5DF6CA58">
      <w:pPr>
        <w:widowControl/>
        <w:shd w:val="clear" w:color="auto" w:fill="FFFFFF"/>
        <w:spacing w:after="75" w:line="420" w:lineRule="atLeast"/>
        <w:ind w:firstLine="600"/>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竞价成交后，标的物竞得者原锁定的保证金自动转入管理人指定账户。请及时与管理人联系。</w:t>
      </w:r>
    </w:p>
    <w:p w14:paraId="5FBD85CE">
      <w:pPr>
        <w:widowControl/>
        <w:shd w:val="clear" w:color="auto" w:fill="FFFFFF"/>
        <w:spacing w:after="75" w:line="420" w:lineRule="atLeast"/>
        <w:ind w:firstLine="600"/>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七、移交与过户</w:t>
      </w:r>
    </w:p>
    <w:p w14:paraId="04C32900">
      <w:pPr>
        <w:widowControl/>
        <w:shd w:val="clear" w:color="auto" w:fill="FFFFFF"/>
        <w:spacing w:after="75" w:line="420" w:lineRule="atLeast"/>
        <w:ind w:firstLine="600"/>
        <w:jc w:val="left"/>
        <w:rPr>
          <w:rFonts w:ascii="仿宋" w:hAnsi="仿宋" w:eastAsia="仿宋" w:cs="Helvetica"/>
          <w:color w:val="000000"/>
          <w:kern w:val="0"/>
          <w:sz w:val="24"/>
          <w:szCs w:val="24"/>
        </w:rPr>
      </w:pPr>
      <w:r>
        <w:rPr>
          <w:rFonts w:hint="eastAsia" w:ascii="仿宋" w:hAnsi="仿宋" w:eastAsia="仿宋" w:cs="Helvetica"/>
          <w:color w:val="000000"/>
          <w:kern w:val="0"/>
          <w:sz w:val="24"/>
          <w:szCs w:val="24"/>
        </w:rPr>
        <w:t>（一）买受人应于付清全部拍卖成交价款后5个工作日内（遇节假日或不可抗力顺延）凭付款凭证及相关身份材料至管理人处（地址：衡水市桃城区前进大街紫金大厦5栋6楼河北仁浩律师事务所）签署拍卖成交确认文件。</w:t>
      </w:r>
    </w:p>
    <w:p w14:paraId="4E088D76">
      <w:pPr>
        <w:widowControl/>
        <w:shd w:val="clear" w:color="auto" w:fill="FFFFFF"/>
        <w:spacing w:after="75"/>
        <w:ind w:firstLine="600"/>
        <w:jc w:val="left"/>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二）买受人付清全部拍卖成交价款之日，拍卖标的的所有权由买受人享有，并视为管理人已将拍卖标的所有权移交买受人，买受人自行承担全部的责任和风险。破产案件受理法院不提供拍卖标的确权、转移登记等与拍卖标的相关的裁定书和协助执行文书。</w:t>
      </w:r>
    </w:p>
    <w:p w14:paraId="3927C501">
      <w:pPr>
        <w:widowControl/>
        <w:shd w:val="clear" w:color="auto" w:fill="FFFFFF"/>
        <w:spacing w:after="75"/>
        <w:ind w:firstLine="600"/>
        <w:jc w:val="left"/>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三）本次竞价活动计价货币为人民币，竞价时的起拍价、成交价均不含买受人在竞价标的物转让时双方的一切税、费。本次交易所产生的一切税、费、金以及所需补缴的欠税、欠费等费用，均由买受人承担。具体金额由买受人自行向相关主管部门核定。买受人在承担后不得据此主张竞价无效或向管理人、上拍机构索偿。</w:t>
      </w:r>
    </w:p>
    <w:p w14:paraId="45BD88BC">
      <w:pPr>
        <w:widowControl/>
        <w:shd w:val="clear" w:color="auto" w:fill="FFFFFF"/>
        <w:spacing w:after="75" w:line="420" w:lineRule="atLeast"/>
        <w:ind w:firstLine="600"/>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八、风险提示</w:t>
      </w:r>
    </w:p>
    <w:p w14:paraId="1333782E">
      <w:pPr>
        <w:widowControl/>
        <w:shd w:val="clear" w:color="auto" w:fill="FFFFFF"/>
        <w:spacing w:after="75" w:line="420" w:lineRule="atLeast"/>
        <w:ind w:firstLine="240"/>
        <w:rPr>
          <w:rFonts w:ascii="Helvetica" w:hAnsi="Helvetica" w:eastAsia="宋体" w:cs="Helvetica"/>
          <w:color w:val="000000"/>
          <w:kern w:val="0"/>
          <w:sz w:val="27"/>
          <w:szCs w:val="27"/>
        </w:rPr>
      </w:pPr>
      <w:r>
        <w:rPr>
          <w:rFonts w:hint="eastAsia" w:ascii="仿宋" w:hAnsi="仿宋" w:eastAsia="仿宋" w:cs="Helvetica"/>
          <w:b/>
          <w:bCs/>
          <w:color w:val="FF0000"/>
          <w:kern w:val="0"/>
          <w:sz w:val="24"/>
          <w:szCs w:val="24"/>
        </w:rPr>
        <w:t>特别提醒：管理人对上述列示出的对外债权的真实性、数额是否一致、是否超出诉讼时效、合同等证据材料及权利凭证的完整性以及全额回收的可能性等不做任何承诺担保，拍卖标的资产的一切事实及法律风险均由买受人自行承担。</w:t>
      </w:r>
    </w:p>
    <w:p w14:paraId="3896350F">
      <w:pPr>
        <w:widowControl/>
        <w:shd w:val="clear" w:color="auto" w:fill="FFFFFF"/>
        <w:spacing w:after="75" w:line="420" w:lineRule="atLeast"/>
        <w:jc w:val="left"/>
        <w:rPr>
          <w:rFonts w:ascii="Helvetica" w:hAnsi="Helvetica" w:eastAsia="宋体" w:cs="Helvetica"/>
          <w:color w:val="000000"/>
          <w:kern w:val="0"/>
          <w:sz w:val="27"/>
          <w:szCs w:val="27"/>
        </w:rPr>
      </w:pP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(一)标的物特殊情况说明：</w:t>
      </w:r>
    </w:p>
    <w:p w14:paraId="757E4AB3">
      <w:pPr>
        <w:widowControl/>
        <w:shd w:val="clear" w:color="auto" w:fill="FFFFFF"/>
        <w:spacing w:after="75"/>
        <w:ind w:firstLine="240"/>
        <w:jc w:val="left"/>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应收款债权的具体情况可向管理人进行咨询了解。本次拍卖标的的相关诉讼、权利、义务风险由竞拍人自行评估，包括但不限于竞拍成交人能否对相关义务人提起诉讼以及提起诉讼后能否取得胜诉以及胜诉后能否执行到款项等。本次拍卖标的可能存在瑕疵或尚未发现的缺陷（该瑕疵和缺陷将导致对外应收债权部分或者全部无法收回等风险），包括但不限于以下情况：</w:t>
      </w:r>
    </w:p>
    <w:p w14:paraId="0904B575">
      <w:pPr>
        <w:widowControl/>
        <w:shd w:val="clear" w:color="auto" w:fill="FFFFFF"/>
        <w:spacing w:after="75"/>
        <w:ind w:firstLine="240"/>
        <w:rPr>
          <w:rFonts w:ascii="Helvetica" w:hAnsi="Helvetica" w:eastAsia="宋体" w:cs="Helvetica"/>
          <w:color w:val="000000"/>
          <w:kern w:val="0"/>
          <w:sz w:val="27"/>
          <w:szCs w:val="27"/>
        </w:rPr>
      </w:pP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1.</w:t>
      </w:r>
      <w:r>
        <w:rPr>
          <w:rFonts w:hint="eastAsia" w:ascii="仿宋" w:hAnsi="仿宋" w:eastAsia="仿宋" w:cs="Helvetica"/>
          <w:color w:val="EE0000"/>
          <w:kern w:val="0"/>
          <w:sz w:val="24"/>
          <w:szCs w:val="24"/>
        </w:rPr>
        <w:t>管理人接管的记载拍卖标的形成的相关账簿和会计凭证不完整，且没有对方签字等材料，管理人不向买受人提供与拍卖标的相关的账簿和会计凭证。</w:t>
      </w:r>
      <w:r>
        <w:rPr>
          <w:rFonts w:hint="eastAsia" w:ascii="仿宋" w:hAnsi="仿宋" w:eastAsia="仿宋" w:cs="Helvetica"/>
          <w:color w:val="000000"/>
          <w:kern w:val="0"/>
          <w:sz w:val="24"/>
          <w:szCs w:val="24"/>
        </w:rPr>
        <w:t>对外债权可能全部或部分无效、不存在、无法追回、真实性存在瑕疵等；</w:t>
      </w:r>
    </w:p>
    <w:p w14:paraId="14B209DF">
      <w:pPr>
        <w:widowControl/>
        <w:shd w:val="clear" w:color="auto" w:fill="FFFFFF"/>
        <w:spacing w:after="75"/>
        <w:ind w:firstLine="240"/>
        <w:rPr>
          <w:rFonts w:ascii="Helvetica" w:hAnsi="Helvetica" w:eastAsia="宋体" w:cs="Helvetica"/>
          <w:color w:val="000000"/>
          <w:kern w:val="0"/>
          <w:sz w:val="27"/>
          <w:szCs w:val="27"/>
        </w:rPr>
      </w:pP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2.拍卖标的记载的债权户数、金额可能存在全部或部分不准确，可能存在与原权利人财务记载的信息不一致的情形；</w:t>
      </w:r>
    </w:p>
    <w:p w14:paraId="0D31649D">
      <w:pPr>
        <w:widowControl/>
        <w:shd w:val="clear" w:color="auto" w:fill="FFFFFF"/>
        <w:spacing w:after="75"/>
        <w:ind w:firstLine="240"/>
        <w:rPr>
          <w:rFonts w:ascii="Helvetica" w:hAnsi="Helvetica" w:eastAsia="宋体" w:cs="Helvetica"/>
          <w:color w:val="000000"/>
          <w:kern w:val="0"/>
          <w:sz w:val="27"/>
          <w:szCs w:val="27"/>
        </w:rPr>
      </w:pP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3.债权可能存在因已超过诉讼时效、执行时效及其他相关的法定期间或其他原因已部分消灭或成为自然债导致无法收回，或因合同约定、债务人实际已履行、发票未开、被抵销、撤销以及其他原因或纠纷导致无法收回、产生损失等风险；</w:t>
      </w:r>
    </w:p>
    <w:p w14:paraId="3AEDA225">
      <w:pPr>
        <w:widowControl/>
        <w:shd w:val="clear" w:color="auto" w:fill="FFFFFF"/>
        <w:spacing w:after="75"/>
        <w:ind w:firstLine="240"/>
        <w:rPr>
          <w:rFonts w:ascii="Helvetica" w:hAnsi="Helvetica" w:eastAsia="宋体" w:cs="Helvetica"/>
          <w:color w:val="000000"/>
          <w:kern w:val="0"/>
          <w:sz w:val="27"/>
          <w:szCs w:val="27"/>
        </w:rPr>
      </w:pP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4.债权可能存在因不符合约定的付款条件、被质押及存在产品质量问题、迟延交货等违约情形导致债权存在争议、无法收回、产生损失等风险；</w:t>
      </w:r>
      <w:r>
        <w:rPr>
          <w:rFonts w:ascii="Helvetica" w:hAnsi="Helvetica" w:eastAsia="宋体" w:cs="Helvetica"/>
          <w:color w:val="000000"/>
          <w:kern w:val="0"/>
          <w:sz w:val="27"/>
          <w:szCs w:val="27"/>
        </w:rPr>
        <w:t xml:space="preserve"> </w:t>
      </w:r>
    </w:p>
    <w:p w14:paraId="49722761">
      <w:pPr>
        <w:widowControl/>
        <w:shd w:val="clear" w:color="auto" w:fill="FFFFFF"/>
        <w:spacing w:after="75"/>
        <w:ind w:firstLine="240"/>
        <w:rPr>
          <w:rFonts w:ascii="Helvetica" w:hAnsi="Helvetica" w:eastAsia="宋体" w:cs="Helvetica"/>
          <w:color w:val="000000"/>
          <w:kern w:val="0"/>
          <w:sz w:val="27"/>
          <w:szCs w:val="27"/>
        </w:rPr>
      </w:pP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5.与债权相关的债务人或担保人或第三方可能存在破产、被解散、被注销、被撤销、被关闭、被吊销、歇业、下落不明以及其他主体存续性瑕疵的情形；</w:t>
      </w:r>
    </w:p>
    <w:p w14:paraId="3B5D8815">
      <w:pPr>
        <w:widowControl/>
        <w:shd w:val="clear" w:color="auto" w:fill="FFFFFF"/>
        <w:spacing w:after="75"/>
        <w:ind w:firstLine="240"/>
        <w:rPr>
          <w:rFonts w:ascii="Helvetica" w:hAnsi="Helvetica" w:eastAsia="宋体" w:cs="Helvetica"/>
          <w:color w:val="000000"/>
          <w:kern w:val="0"/>
          <w:sz w:val="27"/>
          <w:szCs w:val="27"/>
        </w:rPr>
      </w:pP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6.债权文件可能存在不真实、不完整，债权凭证原件缺失、不存在或内容冲突等导致债权存在争议、无法收回、产生损失等相关情形。</w:t>
      </w:r>
    </w:p>
    <w:p w14:paraId="0E3A7149">
      <w:pPr>
        <w:widowControl/>
        <w:shd w:val="clear" w:color="auto" w:fill="FFFFFF"/>
        <w:spacing w:after="75"/>
        <w:ind w:firstLine="240"/>
        <w:rPr>
          <w:rFonts w:ascii="Helvetica" w:hAnsi="Helvetica" w:eastAsia="宋体" w:cs="Helvetica"/>
          <w:color w:val="000000"/>
          <w:kern w:val="0"/>
          <w:sz w:val="27"/>
          <w:szCs w:val="27"/>
        </w:rPr>
      </w:pP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7.债权文件可能存在因与债权文件清单记载不一致导致债权存在争议、无法收回、产生损失等风险；</w:t>
      </w:r>
    </w:p>
    <w:p w14:paraId="7318C752">
      <w:pPr>
        <w:widowControl/>
        <w:shd w:val="clear" w:color="auto" w:fill="FFFFFF"/>
        <w:spacing w:after="75"/>
        <w:ind w:firstLine="240"/>
        <w:rPr>
          <w:rFonts w:ascii="Helvetica" w:hAnsi="Helvetica" w:eastAsia="宋体" w:cs="Helvetica"/>
          <w:color w:val="000000"/>
          <w:kern w:val="0"/>
          <w:sz w:val="27"/>
          <w:szCs w:val="27"/>
        </w:rPr>
      </w:pP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8.就债权提起诉讼可能存在反诉要求赔偿违约金等债权存在争议、无法收回、产生损失的风险，若因反诉等给破产企业造成损失，由买受人承担相应损失；</w:t>
      </w:r>
    </w:p>
    <w:p w14:paraId="18A391C6">
      <w:pPr>
        <w:widowControl/>
        <w:shd w:val="clear" w:color="auto" w:fill="FFFFFF"/>
        <w:spacing w:after="75"/>
        <w:ind w:firstLine="240"/>
        <w:rPr>
          <w:rFonts w:ascii="Helvetica" w:hAnsi="Helvetica" w:eastAsia="宋体" w:cs="Helvetica"/>
          <w:color w:val="000000"/>
          <w:kern w:val="0"/>
          <w:sz w:val="27"/>
          <w:szCs w:val="27"/>
        </w:rPr>
      </w:pP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9.涉诉债权项目可能存在败诉、不能变更诉讼主体、执行主体等诉讼风险；</w:t>
      </w:r>
    </w:p>
    <w:p w14:paraId="561C0B81">
      <w:pPr>
        <w:widowControl/>
        <w:shd w:val="clear" w:color="auto" w:fill="FFFFFF"/>
        <w:spacing w:after="75"/>
        <w:ind w:firstLine="240"/>
        <w:rPr>
          <w:rFonts w:ascii="Helvetica" w:hAnsi="Helvetica" w:eastAsia="宋体" w:cs="Helvetica"/>
          <w:color w:val="EE0000"/>
          <w:kern w:val="0"/>
          <w:sz w:val="27"/>
          <w:szCs w:val="27"/>
        </w:rPr>
      </w:pP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10.债权项目可能存在已经被其他债权人或第三人收取的情形；</w:t>
      </w:r>
      <w:r>
        <w:rPr>
          <w:rFonts w:ascii="Helvetica" w:hAnsi="Helvetica" w:eastAsia="宋体" w:cs="Helvetica"/>
          <w:color w:val="EE0000"/>
          <w:kern w:val="0"/>
          <w:sz w:val="27"/>
          <w:szCs w:val="27"/>
        </w:rPr>
        <w:t xml:space="preserve"> </w:t>
      </w:r>
    </w:p>
    <w:p w14:paraId="0CF24502">
      <w:pPr>
        <w:widowControl/>
        <w:shd w:val="clear" w:color="auto" w:fill="FFFFFF"/>
        <w:spacing w:after="75"/>
        <w:ind w:firstLine="240"/>
        <w:rPr>
          <w:rFonts w:ascii="Helvetica" w:hAnsi="Helvetica" w:eastAsia="宋体" w:cs="Helvetica"/>
          <w:color w:val="000000"/>
          <w:kern w:val="0"/>
          <w:sz w:val="27"/>
          <w:szCs w:val="27"/>
        </w:rPr>
      </w:pP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11.其他已经/或尚未发现的可能导致债权存在争议、不存在、无法收回、产生损失等风险；</w:t>
      </w:r>
    </w:p>
    <w:p w14:paraId="454E1BD8">
      <w:pPr>
        <w:widowControl/>
        <w:shd w:val="clear" w:color="auto" w:fill="FFFFFF"/>
        <w:spacing w:after="75"/>
        <w:ind w:firstLine="240"/>
        <w:rPr>
          <w:rFonts w:ascii="Helvetica" w:hAnsi="Helvetica" w:eastAsia="宋体" w:cs="Helvetica"/>
          <w:color w:val="000000"/>
          <w:kern w:val="0"/>
          <w:sz w:val="27"/>
          <w:szCs w:val="27"/>
        </w:rPr>
      </w:pP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12.本次拍卖标的物未经生效的司法文书予以确认，涉及与股东的司法诉讼风险由买受人自行承担。</w:t>
      </w:r>
    </w:p>
    <w:p w14:paraId="608EF732">
      <w:pPr>
        <w:widowControl/>
        <w:shd w:val="clear" w:color="auto" w:fill="FFFFFF"/>
        <w:spacing w:after="75"/>
        <w:ind w:firstLine="480" w:firstLineChars="200"/>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上述存在着瑕疵或尚未发现的缺陷，由买受人自行承担风险。</w:t>
      </w:r>
    </w:p>
    <w:p w14:paraId="67AE2F2D">
      <w:pPr>
        <w:widowControl/>
        <w:shd w:val="clear" w:color="auto" w:fill="FFFFFF"/>
        <w:spacing w:after="75"/>
        <w:rPr>
          <w:rFonts w:ascii="Helvetica" w:hAnsi="Helvetica" w:eastAsia="宋体" w:cs="Helvetica"/>
          <w:color w:val="000000"/>
          <w:kern w:val="0"/>
          <w:sz w:val="27"/>
          <w:szCs w:val="27"/>
        </w:rPr>
      </w:pP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二)竞买人在拍卖成交后所获得的应收款项权益以出让人所享有的权益为准，如出让人的权益存在瑕疵或附随义务，受让人将同样受到该瑕疵或附随义务的约束。上述存在的瑕疵或附随义务或尚未发现的缺陷，由竞买人自行调查核实并承担相应风险。</w:t>
      </w:r>
    </w:p>
    <w:p w14:paraId="2054AE69">
      <w:pPr>
        <w:widowControl/>
        <w:shd w:val="clear" w:color="auto" w:fill="FFFFFF"/>
        <w:spacing w:after="75"/>
        <w:rPr>
          <w:rFonts w:ascii="Helvetica" w:hAnsi="Helvetica" w:eastAsia="宋体" w:cs="Helvetica"/>
          <w:color w:val="000000"/>
          <w:kern w:val="0"/>
          <w:sz w:val="27"/>
          <w:szCs w:val="27"/>
        </w:rPr>
      </w:pP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(三)管理人不对应收款是否可以收回作出任何承诺担保，不承担本标的物瑕疵保证，相关风险均由买受人自行承担。</w:t>
      </w:r>
    </w:p>
    <w:p w14:paraId="48748E7A">
      <w:pPr>
        <w:pStyle w:val="11"/>
        <w:rPr>
          <w:rFonts w:hint="default" w:ascii="仿宋" w:hAnsi="仿宋" w:eastAsia="仿宋" w:cs="Helvetica"/>
          <w:color w:val="000000"/>
          <w:kern w:val="0"/>
          <w:sz w:val="24"/>
          <w:szCs w:val="24"/>
          <w:lang w:val="en-US" w:eastAsia="zh-CN"/>
        </w:rPr>
      </w:pP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(四)因该标的物拍卖产生的任何费用，如有相关税、费用产生，按国家法规和政策规定由买卖双方分别承担，无明确规定的由买受人承担。</w:t>
      </w:r>
      <w:r>
        <w:rPr>
          <w:rFonts w:hint="eastAsia" w:ascii="仿宋" w:hAnsi="仿宋" w:eastAsia="仿宋" w:cs="Helvetica"/>
          <w:color w:val="000000"/>
          <w:kern w:val="0"/>
          <w:sz w:val="24"/>
          <w:szCs w:val="24"/>
          <w:lang w:val="en-US" w:eastAsia="zh-CN"/>
        </w:rPr>
        <w:t>买受人付清全部拍卖价款后，如涉及标的物债权人主体变更的、债权转让通知的、其他转让登记手续变更的，由买受人自行办理，相关费用全部由买受人承担。</w:t>
      </w:r>
    </w:p>
    <w:p w14:paraId="6872C390">
      <w:pPr>
        <w:widowControl/>
        <w:shd w:val="clear" w:color="auto" w:fill="FFFFFF"/>
        <w:spacing w:after="75"/>
        <w:rPr>
          <w:rFonts w:ascii="Helvetica" w:hAnsi="Helvetica" w:eastAsia="宋体" w:cs="Helvetica"/>
          <w:color w:val="000000"/>
          <w:kern w:val="0"/>
          <w:sz w:val="27"/>
          <w:szCs w:val="27"/>
        </w:rPr>
      </w:pPr>
    </w:p>
    <w:p w14:paraId="69552EDC">
      <w:pPr>
        <w:widowControl/>
        <w:shd w:val="clear" w:color="auto" w:fill="FFFFFF"/>
        <w:spacing w:after="75"/>
        <w:rPr>
          <w:rFonts w:ascii="Helvetica" w:hAnsi="Helvetica" w:eastAsia="宋体" w:cs="Helvetica"/>
          <w:color w:val="000000"/>
          <w:kern w:val="0"/>
          <w:sz w:val="27"/>
          <w:szCs w:val="27"/>
        </w:rPr>
      </w:pP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五)竞买人务必在拍卖前仔细审查拍卖标的，调查标的是否存在瑕疵，认真研究其现实状况。请竞买人慎重决定竞买行为，竞买人一旦作出竞买决定，即表明已完全了解，并接受标的物的现状和一切已知及未知的瑕疵。</w:t>
      </w:r>
    </w:p>
    <w:p w14:paraId="03F38C43">
      <w:pPr>
        <w:widowControl/>
        <w:shd w:val="clear" w:color="auto" w:fill="FFFFFF"/>
        <w:spacing w:after="75"/>
        <w:rPr>
          <w:rFonts w:ascii="Helvetica" w:hAnsi="Helvetica" w:eastAsia="宋体" w:cs="Helvetica"/>
          <w:color w:val="000000"/>
          <w:kern w:val="0"/>
          <w:sz w:val="27"/>
          <w:szCs w:val="27"/>
        </w:rPr>
      </w:pP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(六)竞买人应当具备完全民事行为能力。竞买人也可根据《竞买须知》相关规定委托代理人（具备完全民事行为能力的自然人）进行竞买。因不符合条件参加竞买的，由竞买人自行承担相应的法律责任。</w:t>
      </w:r>
    </w:p>
    <w:p w14:paraId="31588DC1">
      <w:pPr>
        <w:widowControl/>
        <w:shd w:val="clear" w:color="auto" w:fill="FFFFFF"/>
        <w:spacing w:after="75"/>
        <w:rPr>
          <w:rFonts w:ascii="Helvetica" w:hAnsi="Helvetica" w:eastAsia="宋体" w:cs="Helvetica"/>
          <w:kern w:val="0"/>
          <w:sz w:val="27"/>
          <w:szCs w:val="27"/>
        </w:rPr>
      </w:pP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(七)本次拍卖标的物的数量、金额及能否实际催收，以交付时的现状为准，管理人</w:t>
      </w:r>
      <w:r>
        <w:rPr>
          <w:rFonts w:hint="eastAsia" w:ascii="仿宋" w:hAnsi="仿宋" w:eastAsia="仿宋" w:cs="Helvetica"/>
          <w:kern w:val="0"/>
          <w:sz w:val="24"/>
          <w:szCs w:val="24"/>
        </w:rPr>
        <w:t>仅能提供拍卖标的明细，相关的审计报告资料，管理人未获取也不能提供与拍卖标的有关的合同、法律文书、票据等资料，记载拍卖标的相关账簿、会计凭证不完整且没有对方签字，管理人不向买受人提供。</w:t>
      </w:r>
    </w:p>
    <w:p w14:paraId="2D42ED6C">
      <w:pPr>
        <w:widowControl/>
        <w:shd w:val="clear" w:color="auto" w:fill="FFFFFF"/>
        <w:spacing w:after="75"/>
        <w:rPr>
          <w:rFonts w:ascii="Helvetica" w:hAnsi="Helvetica" w:eastAsia="宋体" w:cs="Helvetica"/>
          <w:color w:val="000000"/>
          <w:kern w:val="0"/>
          <w:sz w:val="27"/>
          <w:szCs w:val="27"/>
        </w:rPr>
      </w:pP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八)管理人、上拍机构对此次竞价标的物所作的说明和提供的图片、文字资料等，仅供竞买人参考，不构成对标的物的任何担保，不作为对竞买人参与此次竞价的建议，仅提供竞买人参考。（特别提醒：有意者请提前与管理人联系，未提前联系管理人，视为对本标的现状的确认。竞买人一旦作出竞买决定，即表明已完全了解，并接受标的物的现状和一切已知及未知的瑕疵，责任自负。）</w:t>
      </w:r>
    </w:p>
    <w:p w14:paraId="7B9B0692">
      <w:pPr>
        <w:widowControl/>
        <w:shd w:val="clear" w:color="auto" w:fill="FFFFFF"/>
        <w:spacing w:after="75"/>
        <w:rPr>
          <w:rFonts w:ascii="Helvetica" w:hAnsi="Helvetica" w:eastAsia="宋体" w:cs="Helvetica"/>
          <w:color w:val="000000"/>
          <w:kern w:val="0"/>
          <w:sz w:val="27"/>
          <w:szCs w:val="27"/>
        </w:rPr>
      </w:pP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(九)因标的物</w:t>
      </w:r>
      <w:r>
        <w:rPr>
          <w:rFonts w:hint="eastAsia" w:ascii="仿宋" w:hAnsi="仿宋" w:eastAsia="仿宋" w:cs="Helvetica"/>
          <w:color w:val="000000"/>
          <w:kern w:val="0"/>
          <w:sz w:val="24"/>
          <w:szCs w:val="24"/>
          <w:lang w:val="en-US" w:eastAsia="zh-CN"/>
        </w:rPr>
        <w:t>拍卖</w:t>
      </w:r>
      <w:r>
        <w:rPr>
          <w:rFonts w:hint="eastAsia" w:ascii="仿宋" w:hAnsi="仿宋" w:eastAsia="仿宋" w:cs="Helvetica"/>
          <w:color w:val="000000"/>
          <w:kern w:val="0"/>
          <w:sz w:val="24"/>
          <w:szCs w:val="24"/>
        </w:rPr>
        <w:t>价值较高，可能存在起拍价、保证金、竞价成交数额较大的情形。为避免在在线支付的过程中，因银行限额而导致无法支付的问题，请根据《竞买须知》相关规定进行充分准备。</w:t>
      </w:r>
    </w:p>
    <w:p w14:paraId="0558140A">
      <w:pPr>
        <w:widowControl/>
        <w:shd w:val="clear" w:color="auto" w:fill="FFFFFF"/>
        <w:spacing w:after="75"/>
        <w:rPr>
          <w:rFonts w:ascii="Helvetica" w:hAnsi="Helvetica" w:eastAsia="宋体" w:cs="Helvetica"/>
          <w:color w:val="000000"/>
          <w:kern w:val="0"/>
          <w:sz w:val="27"/>
          <w:szCs w:val="27"/>
        </w:rPr>
      </w:pP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(十)其他未尽事宜由买受人自行了解。</w:t>
      </w:r>
    </w:p>
    <w:p w14:paraId="1747CB0E">
      <w:pPr>
        <w:widowControl/>
        <w:shd w:val="clear" w:color="auto" w:fill="FFFFFF"/>
        <w:spacing w:after="75"/>
        <w:ind w:firstLine="600"/>
        <w:rPr>
          <w:rFonts w:ascii="仿宋" w:hAnsi="仿宋" w:eastAsia="仿宋" w:cs="Helvetica"/>
          <w:color w:val="000000"/>
          <w:kern w:val="0"/>
          <w:sz w:val="24"/>
          <w:szCs w:val="24"/>
        </w:rPr>
      </w:pPr>
      <w:r>
        <w:rPr>
          <w:rFonts w:hint="eastAsia" w:ascii="仿宋" w:hAnsi="仿宋" w:eastAsia="仿宋" w:cs="Helvetica"/>
          <w:color w:val="000000"/>
          <w:kern w:val="0"/>
          <w:sz w:val="24"/>
          <w:szCs w:val="24"/>
        </w:rPr>
        <w:t>九、本次网上公开竞价《竞买公告》《竞买须知》等标的物相关文件已在京东网络竞价平台公开展示，请仔细阅读。上拍机构已就前述相关标的物相关文件的所有条款向竞买人如实告知并做出详细说明，竞买人知悉并同意接受前述文件的全部条款和内容，竞买人和资产处置平台双方不存在任何歧异和误认，竞买人承诺不再对前述文件的条款提出任何异议。</w:t>
      </w:r>
    </w:p>
    <w:p w14:paraId="1F0586FF">
      <w:pPr>
        <w:widowControl/>
        <w:shd w:val="clear" w:color="auto" w:fill="FFFFFF"/>
        <w:spacing w:after="75"/>
        <w:ind w:firstLine="600"/>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竞买人可从管理人处取得拍卖标的具体明细。</w:t>
      </w:r>
    </w:p>
    <w:p w14:paraId="3218A36E">
      <w:pPr>
        <w:widowControl/>
        <w:shd w:val="clear" w:color="auto" w:fill="FFFFFF"/>
        <w:spacing w:after="75" w:line="420" w:lineRule="atLeast"/>
        <w:ind w:firstLine="600"/>
        <w:jc w:val="left"/>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十、竞买人在竞价前请务必仔细阅读相应标的竞买公告、竞买须知、标的物详情。本公告其他未尽事宜，请向管理人咨询。</w:t>
      </w:r>
    </w:p>
    <w:p w14:paraId="7E6EBFC2">
      <w:pPr>
        <w:widowControl/>
        <w:shd w:val="clear" w:color="auto" w:fill="FFFFFF"/>
        <w:spacing w:after="75" w:line="420" w:lineRule="atLeast"/>
        <w:jc w:val="left"/>
        <w:rPr>
          <w:rFonts w:hint="default" w:ascii="Helvetica" w:hAnsi="Helvetica" w:eastAsia="仿宋" w:cs="Helvetica"/>
          <w:color w:val="000000"/>
          <w:kern w:val="0"/>
          <w:sz w:val="27"/>
          <w:szCs w:val="27"/>
          <w:lang w:val="en-US" w:eastAsia="zh-CN"/>
        </w:rPr>
      </w:pPr>
      <w:r>
        <w:rPr>
          <w:rFonts w:hint="eastAsia" w:ascii="仿宋" w:hAnsi="仿宋" w:eastAsia="仿宋" w:cs="Helvetica"/>
          <w:color w:val="000000"/>
          <w:kern w:val="0"/>
          <w:sz w:val="24"/>
          <w:szCs w:val="24"/>
        </w:rPr>
        <w:t>咨询电话：</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hint="eastAsia" w:ascii="仿宋" w:hAnsi="仿宋" w:eastAsia="仿宋" w:cs="Helvetica"/>
          <w:color w:val="000000"/>
          <w:kern w:val="0"/>
          <w:sz w:val="24"/>
          <w:szCs w:val="24"/>
          <w:lang w:val="en-US" w:eastAsia="zh-CN"/>
        </w:rPr>
        <w:t>宋</w:t>
      </w:r>
      <w:r>
        <w:rPr>
          <w:rFonts w:hint="eastAsia" w:ascii="仿宋" w:hAnsi="仿宋" w:eastAsia="仿宋" w:cs="Helvetica"/>
          <w:color w:val="000000"/>
          <w:kern w:val="0"/>
          <w:sz w:val="24"/>
          <w:szCs w:val="24"/>
        </w:rPr>
        <w:t>律师</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1</w:t>
      </w:r>
      <w:r>
        <w:rPr>
          <w:rFonts w:hint="eastAsia" w:ascii="仿宋" w:hAnsi="仿宋" w:eastAsia="仿宋" w:cs="Helvetica"/>
          <w:color w:val="000000"/>
          <w:kern w:val="0"/>
          <w:sz w:val="24"/>
          <w:szCs w:val="24"/>
          <w:lang w:val="en-US" w:eastAsia="zh-CN"/>
        </w:rPr>
        <w:t>3833887542</w:t>
      </w:r>
    </w:p>
    <w:p w14:paraId="41A1746C">
      <w:pPr>
        <w:widowControl/>
        <w:shd w:val="clear" w:color="auto" w:fill="FFFFFF"/>
        <w:spacing w:after="75" w:line="420" w:lineRule="atLeast"/>
        <w:jc w:val="left"/>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拍辅咨询电话：辛经理</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18831889063</w:t>
      </w:r>
    </w:p>
    <w:p w14:paraId="69FC17A4">
      <w:pPr>
        <w:widowControl/>
        <w:shd w:val="clear" w:color="auto" w:fill="FFFFFF"/>
        <w:spacing w:after="75" w:line="420" w:lineRule="atLeast"/>
        <w:jc w:val="left"/>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京东技术咨询电话：4006229586</w:t>
      </w:r>
      <w:r>
        <w:rPr>
          <w:rFonts w:ascii="Calibri" w:hAnsi="Calibri" w:eastAsia="仿宋" w:cs="Calibri"/>
          <w:color w:val="000000"/>
          <w:kern w:val="0"/>
          <w:sz w:val="24"/>
          <w:szCs w:val="24"/>
        </w:rPr>
        <w:t> </w:t>
      </w:r>
    </w:p>
    <w:p w14:paraId="1E9B322B">
      <w:pPr>
        <w:widowControl/>
        <w:shd w:val="clear" w:color="auto" w:fill="FFFFFF"/>
        <w:spacing w:after="75" w:line="420" w:lineRule="atLeast"/>
        <w:jc w:val="left"/>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凡发现竞价中有违规行为，可如实举报。</w:t>
      </w:r>
    </w:p>
    <w:p w14:paraId="42E06A98">
      <w:pPr>
        <w:widowControl/>
        <w:shd w:val="clear" w:color="auto" w:fill="FFFFFF"/>
        <w:spacing w:after="75" w:line="420" w:lineRule="atLeast"/>
        <w:jc w:val="left"/>
        <w:rPr>
          <w:rFonts w:ascii="Helvetica" w:hAnsi="Helvetica" w:eastAsia="宋体" w:cs="Helvetica"/>
          <w:color w:val="000000"/>
          <w:kern w:val="0"/>
          <w:sz w:val="27"/>
          <w:szCs w:val="27"/>
        </w:rPr>
      </w:pPr>
      <w:r>
        <w:rPr>
          <w:rFonts w:hint="eastAsia" w:ascii="仿宋" w:hAnsi="仿宋" w:eastAsia="仿宋" w:cs="Helvetica"/>
          <w:color w:val="000000"/>
          <w:kern w:val="0"/>
          <w:sz w:val="24"/>
          <w:szCs w:val="24"/>
        </w:rPr>
        <w:t>本次拍卖活动最终解释权归</w:t>
      </w:r>
      <w:r>
        <w:rPr>
          <w:rFonts w:hint="eastAsia" w:ascii="仿宋" w:hAnsi="仿宋" w:eastAsia="仿宋" w:cs="Helvetica"/>
          <w:color w:val="000000"/>
          <w:kern w:val="0"/>
          <w:sz w:val="24"/>
          <w:szCs w:val="24"/>
          <w:shd w:val="clear" w:color="auto" w:fill="FFFFFF"/>
        </w:rPr>
        <w:t>河北</w:t>
      </w:r>
      <w:r>
        <w:rPr>
          <w:rFonts w:hint="eastAsia" w:ascii="仿宋" w:hAnsi="仿宋" w:eastAsia="仿宋" w:cs="Helvetica"/>
          <w:color w:val="000000"/>
          <w:kern w:val="0"/>
          <w:sz w:val="24"/>
          <w:szCs w:val="24"/>
          <w:shd w:val="clear" w:color="auto" w:fill="FFFFFF"/>
          <w:lang w:val="en-US" w:eastAsia="zh-CN"/>
        </w:rPr>
        <w:t>通昊建筑板材</w:t>
      </w:r>
      <w:r>
        <w:rPr>
          <w:rFonts w:hint="eastAsia" w:ascii="仿宋" w:hAnsi="仿宋" w:eastAsia="仿宋" w:cs="Helvetica"/>
          <w:color w:val="000000"/>
          <w:kern w:val="0"/>
          <w:sz w:val="24"/>
          <w:szCs w:val="24"/>
          <w:shd w:val="clear" w:color="auto" w:fill="FFFFFF"/>
        </w:rPr>
        <w:t>有限公司破产管理人</w:t>
      </w:r>
      <w:r>
        <w:rPr>
          <w:rFonts w:hint="eastAsia" w:ascii="仿宋" w:hAnsi="仿宋" w:eastAsia="仿宋" w:cs="Helvetica"/>
          <w:color w:val="000000"/>
          <w:kern w:val="0"/>
          <w:sz w:val="24"/>
          <w:szCs w:val="24"/>
        </w:rPr>
        <w:t>所有。</w:t>
      </w:r>
    </w:p>
    <w:p w14:paraId="3666344B">
      <w:pPr>
        <w:widowControl/>
        <w:shd w:val="clear" w:color="auto" w:fill="FFFFFF"/>
        <w:spacing w:after="75" w:line="420" w:lineRule="atLeast"/>
        <w:ind w:firstLine="600"/>
        <w:jc w:val="left"/>
        <w:rPr>
          <w:rFonts w:ascii="Helvetica" w:hAnsi="Helvetica" w:eastAsia="宋体" w:cs="Helvetica"/>
          <w:color w:val="000000"/>
          <w:kern w:val="0"/>
          <w:sz w:val="27"/>
          <w:szCs w:val="27"/>
        </w:rPr>
      </w:pPr>
      <w:r>
        <w:rPr>
          <w:rFonts w:ascii="Calibri" w:hAnsi="Calibri" w:eastAsia="仿宋" w:cs="Calibri"/>
          <w:color w:val="000000"/>
          <w:kern w:val="0"/>
          <w:sz w:val="24"/>
          <w:szCs w:val="24"/>
        </w:rPr>
        <w:t> </w:t>
      </w:r>
    </w:p>
    <w:p w14:paraId="079DAB11">
      <w:pPr>
        <w:widowControl/>
        <w:shd w:val="clear" w:color="auto" w:fill="FFFFFF"/>
        <w:spacing w:after="75" w:line="420" w:lineRule="atLeast"/>
        <w:ind w:firstLine="600"/>
        <w:jc w:val="right"/>
        <w:rPr>
          <w:rFonts w:ascii="Helvetica" w:hAnsi="Helvetica" w:eastAsia="宋体" w:cs="Helvetica"/>
          <w:color w:val="EE0000"/>
          <w:kern w:val="0"/>
          <w:sz w:val="27"/>
          <w:szCs w:val="27"/>
        </w:rPr>
      </w:pPr>
      <w:r>
        <w:rPr>
          <w:rFonts w:hint="eastAsia" w:ascii="仿宋" w:hAnsi="仿宋" w:eastAsia="仿宋" w:cs="Helvetica"/>
          <w:color w:val="000000"/>
          <w:kern w:val="0"/>
          <w:sz w:val="24"/>
          <w:szCs w:val="24"/>
        </w:rPr>
        <w:t>河北</w:t>
      </w:r>
      <w:r>
        <w:rPr>
          <w:rFonts w:hint="eastAsia" w:ascii="仿宋" w:hAnsi="仿宋" w:eastAsia="仿宋" w:cs="Helvetica"/>
          <w:color w:val="000000"/>
          <w:kern w:val="0"/>
          <w:sz w:val="24"/>
          <w:szCs w:val="24"/>
          <w:lang w:val="en-US" w:eastAsia="zh-CN"/>
        </w:rPr>
        <w:t>通昊建筑板材</w:t>
      </w:r>
      <w:r>
        <w:rPr>
          <w:rFonts w:hint="eastAsia" w:ascii="仿宋" w:hAnsi="仿宋" w:eastAsia="仿宋" w:cs="Helvetica"/>
          <w:color w:val="000000"/>
          <w:kern w:val="0"/>
          <w:sz w:val="24"/>
          <w:szCs w:val="24"/>
        </w:rPr>
        <w:t>有限公司破产管理人</w:t>
      </w:r>
      <w:r>
        <w:rPr>
          <w:rFonts w:hint="eastAsia" w:ascii="仿宋" w:hAnsi="仿宋" w:eastAsia="仿宋" w:cs="Helvetica"/>
          <w:color w:val="000000"/>
          <w:kern w:val="0"/>
          <w:sz w:val="24"/>
          <w:szCs w:val="24"/>
        </w:rPr>
        <w:br w:type="textWrapping"/>
      </w:r>
      <w:r>
        <w:rPr>
          <w:rFonts w:hint="eastAsia" w:ascii="仿宋" w:hAnsi="仿宋" w:eastAsia="仿宋" w:cs="Helvetica"/>
          <w:color w:val="000000"/>
          <w:kern w:val="0"/>
          <w:sz w:val="24"/>
          <w:szCs w:val="24"/>
        </w:rPr>
        <w:t> 二〇二</w:t>
      </w:r>
      <w:r>
        <w:rPr>
          <w:rFonts w:hint="eastAsia" w:ascii="仿宋" w:hAnsi="仿宋" w:eastAsia="仿宋" w:cs="Helvetica"/>
          <w:color w:val="000000"/>
          <w:kern w:val="0"/>
          <w:sz w:val="24"/>
          <w:szCs w:val="24"/>
          <w:lang w:val="en-US" w:eastAsia="zh-CN"/>
        </w:rPr>
        <w:t>六</w:t>
      </w:r>
      <w:r>
        <w:rPr>
          <w:rFonts w:hint="eastAsia" w:ascii="仿宋" w:hAnsi="仿宋" w:eastAsia="仿宋" w:cs="Helvetica"/>
          <w:color w:val="000000"/>
          <w:kern w:val="0"/>
          <w:sz w:val="24"/>
          <w:szCs w:val="24"/>
        </w:rPr>
        <w:t>年</w:t>
      </w:r>
      <w:r>
        <w:rPr>
          <w:rFonts w:hint="eastAsia" w:ascii="仿宋" w:hAnsi="仿宋" w:eastAsia="仿宋" w:cs="Helvetica"/>
          <w:color w:val="000000"/>
          <w:kern w:val="0"/>
          <w:sz w:val="24"/>
          <w:szCs w:val="24"/>
          <w:lang w:val="en-US" w:eastAsia="zh-CN"/>
        </w:rPr>
        <w:t>二</w:t>
      </w:r>
      <w:r>
        <w:rPr>
          <w:rFonts w:hint="eastAsia" w:ascii="仿宋" w:hAnsi="仿宋" w:eastAsia="仿宋" w:cs="Helvetica"/>
          <w:color w:val="000000"/>
          <w:kern w:val="0"/>
          <w:sz w:val="24"/>
          <w:szCs w:val="24"/>
        </w:rPr>
        <w:t>月</w:t>
      </w:r>
      <w:r>
        <w:rPr>
          <w:rFonts w:hint="eastAsia" w:ascii="仿宋" w:hAnsi="仿宋" w:eastAsia="仿宋" w:cs="Helvetica"/>
          <w:color w:val="000000"/>
          <w:kern w:val="0"/>
          <w:sz w:val="24"/>
          <w:szCs w:val="24"/>
          <w:lang w:val="en-US" w:eastAsia="zh-CN"/>
        </w:rPr>
        <w:t>二十二</w:t>
      </w:r>
      <w:r>
        <w:rPr>
          <w:rFonts w:hint="eastAsia" w:ascii="仿宋" w:hAnsi="仿宋" w:eastAsia="仿宋" w:cs="Helvetica"/>
          <w:color w:val="000000"/>
          <w:kern w:val="0"/>
          <w:sz w:val="24"/>
          <w:szCs w:val="24"/>
        </w:rPr>
        <w:t>日</w:t>
      </w:r>
    </w:p>
    <w:p w14:paraId="742BFE05">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Helvetica">
    <w:altName w:val="Arial"/>
    <w:panose1 w:val="020B0604020202020204"/>
    <w:charset w:val="00"/>
    <w:family w:val="swiss"/>
    <w:pitch w:val="default"/>
    <w:sig w:usb0="00000000" w:usb1="00000000" w:usb2="00000009" w:usb3="00000000" w:csb0="000001FF" w:csb1="00000000"/>
  </w:font>
  <w:font w:name="Segoe UI">
    <w:panose1 w:val="020B0502040204020203"/>
    <w:charset w:val="00"/>
    <w:family w:val="swiss"/>
    <w:pitch w:val="default"/>
    <w:sig w:usb0="E4002EFF" w:usb1="C000E47F" w:usb2="00000009" w:usb3="00000000" w:csb0="200001FF" w:csb1="00000000"/>
  </w:font>
  <w:font w:name="仿宋">
    <w:panose1 w:val="02010609060101010101"/>
    <w:charset w:val="86"/>
    <w:family w:val="modern"/>
    <w:pitch w:val="default"/>
    <w:sig w:usb0="800002BF" w:usb1="38CF7CFA" w:usb2="00000016" w:usb3="00000000" w:csb0="00040001" w:csb1="00000000"/>
  </w:font>
  <w:font w:name="KSOF7FC4CF2A">
    <w:panose1 w:val="020B0604020202020204"/>
    <w:charset w:val="00"/>
    <w:family w:val="auto"/>
    <w:pitch w:val="default"/>
    <w:sig w:usb0="00000001"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5C44"/>
    <w:rsid w:val="001247DE"/>
    <w:rsid w:val="00350865"/>
    <w:rsid w:val="003A5C44"/>
    <w:rsid w:val="003C5D3D"/>
    <w:rsid w:val="00512ED5"/>
    <w:rsid w:val="00586153"/>
    <w:rsid w:val="005F02C7"/>
    <w:rsid w:val="006764E6"/>
    <w:rsid w:val="0073697A"/>
    <w:rsid w:val="008B3A23"/>
    <w:rsid w:val="00A23261"/>
    <w:rsid w:val="00AC07A1"/>
    <w:rsid w:val="00D83FBF"/>
    <w:rsid w:val="016E7A07"/>
    <w:rsid w:val="020E6922"/>
    <w:rsid w:val="03145205"/>
    <w:rsid w:val="03FD05D6"/>
    <w:rsid w:val="0465083F"/>
    <w:rsid w:val="053A4F12"/>
    <w:rsid w:val="059621EC"/>
    <w:rsid w:val="09074258"/>
    <w:rsid w:val="0A0F3760"/>
    <w:rsid w:val="0C142961"/>
    <w:rsid w:val="0E6A711C"/>
    <w:rsid w:val="0FA557F8"/>
    <w:rsid w:val="13373808"/>
    <w:rsid w:val="187A1D9E"/>
    <w:rsid w:val="18A961DF"/>
    <w:rsid w:val="1D726352"/>
    <w:rsid w:val="1D7A5D0B"/>
    <w:rsid w:val="1DAB47A7"/>
    <w:rsid w:val="1E9B0CC0"/>
    <w:rsid w:val="2398195C"/>
    <w:rsid w:val="241906BD"/>
    <w:rsid w:val="24A7216D"/>
    <w:rsid w:val="26A45B85"/>
    <w:rsid w:val="27985D9D"/>
    <w:rsid w:val="27F00295"/>
    <w:rsid w:val="29C46617"/>
    <w:rsid w:val="29C72969"/>
    <w:rsid w:val="2B8E6403"/>
    <w:rsid w:val="2CF419A9"/>
    <w:rsid w:val="2E9372BE"/>
    <w:rsid w:val="31475971"/>
    <w:rsid w:val="31F44517"/>
    <w:rsid w:val="32DB1233"/>
    <w:rsid w:val="36E64C78"/>
    <w:rsid w:val="370048A0"/>
    <w:rsid w:val="392A7F1B"/>
    <w:rsid w:val="3A1C460B"/>
    <w:rsid w:val="3AF93D6C"/>
    <w:rsid w:val="3C2E0626"/>
    <w:rsid w:val="3C2F15AC"/>
    <w:rsid w:val="3D3A7941"/>
    <w:rsid w:val="3EB05C6A"/>
    <w:rsid w:val="3FC829EB"/>
    <w:rsid w:val="3FE71582"/>
    <w:rsid w:val="4AAD01D1"/>
    <w:rsid w:val="4E465CA3"/>
    <w:rsid w:val="4E562F02"/>
    <w:rsid w:val="4F675ED1"/>
    <w:rsid w:val="50F9524E"/>
    <w:rsid w:val="530C1675"/>
    <w:rsid w:val="563617BF"/>
    <w:rsid w:val="58AE691E"/>
    <w:rsid w:val="5A731BCE"/>
    <w:rsid w:val="5C0815DF"/>
    <w:rsid w:val="5D5F458F"/>
    <w:rsid w:val="5DB55449"/>
    <w:rsid w:val="604A33D1"/>
    <w:rsid w:val="60AE0ECE"/>
    <w:rsid w:val="629B71A6"/>
    <w:rsid w:val="63AE6A7F"/>
    <w:rsid w:val="63B84AF5"/>
    <w:rsid w:val="662F2369"/>
    <w:rsid w:val="67322330"/>
    <w:rsid w:val="67A71109"/>
    <w:rsid w:val="68936EB5"/>
    <w:rsid w:val="68A90204"/>
    <w:rsid w:val="69F83F56"/>
    <w:rsid w:val="6B044411"/>
    <w:rsid w:val="6FA74B6E"/>
    <w:rsid w:val="6FB80FA6"/>
    <w:rsid w:val="709E3D80"/>
    <w:rsid w:val="70C43E4E"/>
    <w:rsid w:val="741D223F"/>
    <w:rsid w:val="74AD4992"/>
    <w:rsid w:val="753876AB"/>
    <w:rsid w:val="78014865"/>
    <w:rsid w:val="789B25C4"/>
    <w:rsid w:val="7A4D5B40"/>
    <w:rsid w:val="7B4E1B6F"/>
    <w:rsid w:val="7BED0CAB"/>
    <w:rsid w:val="7C9A7BC3"/>
    <w:rsid w:val="7D8E6B9B"/>
    <w:rsid w:val="7DE83EE6"/>
    <w:rsid w:val="7F207CC7"/>
    <w:rsid w:val="7F496E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6"/>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17"/>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18"/>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19"/>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6">
    <w:name w:val="heading 5"/>
    <w:basedOn w:val="1"/>
    <w:next w:val="1"/>
    <w:link w:val="20"/>
    <w:semiHidden/>
    <w:unhideWhenUsed/>
    <w:qFormat/>
    <w:uiPriority w:val="9"/>
    <w:pPr>
      <w:keepNext/>
      <w:keepLines/>
      <w:spacing w:before="80" w:after="40"/>
      <w:outlineLvl w:val="4"/>
    </w:pPr>
    <w:rPr>
      <w:rFonts w:cstheme="majorBidi"/>
      <w:color w:val="104862" w:themeColor="accent1" w:themeShade="BF"/>
      <w:sz w:val="24"/>
      <w:szCs w:val="24"/>
    </w:rPr>
  </w:style>
  <w:style w:type="paragraph" w:styleId="7">
    <w:name w:val="heading 6"/>
    <w:basedOn w:val="1"/>
    <w:next w:val="1"/>
    <w:link w:val="21"/>
    <w:semiHidden/>
    <w:unhideWhenUsed/>
    <w:qFormat/>
    <w:uiPriority w:val="9"/>
    <w:pPr>
      <w:keepNext/>
      <w:keepLines/>
      <w:spacing w:before="40"/>
      <w:outlineLvl w:val="5"/>
    </w:pPr>
    <w:rPr>
      <w:rFonts w:cstheme="majorBidi"/>
      <w:b/>
      <w:bCs/>
      <w:color w:val="104862" w:themeColor="accent1" w:themeShade="BF"/>
    </w:rPr>
  </w:style>
  <w:style w:type="paragraph" w:styleId="8">
    <w:name w:val="heading 7"/>
    <w:basedOn w:val="1"/>
    <w:next w:val="1"/>
    <w:link w:val="22"/>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3"/>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4"/>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11">
    <w:name w:val="annotation text"/>
    <w:basedOn w:val="1"/>
    <w:semiHidden/>
    <w:unhideWhenUsed/>
    <w:qFormat/>
    <w:uiPriority w:val="99"/>
    <w:pPr>
      <w:jc w:val="left"/>
    </w:pPr>
  </w:style>
  <w:style w:type="paragraph" w:styleId="12">
    <w:name w:val="Subtitle"/>
    <w:basedOn w:val="1"/>
    <w:next w:val="1"/>
    <w:link w:val="26"/>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3">
    <w:name w:val="Title"/>
    <w:basedOn w:val="1"/>
    <w:next w:val="1"/>
    <w:link w:val="25"/>
    <w:qFormat/>
    <w:uiPriority w:val="10"/>
    <w:pPr>
      <w:spacing w:after="80"/>
      <w:contextualSpacing/>
      <w:jc w:val="center"/>
    </w:pPr>
    <w:rPr>
      <w:rFonts w:asciiTheme="majorHAnsi" w:hAnsiTheme="majorHAnsi" w:eastAsiaTheme="majorEastAsia" w:cstheme="majorBidi"/>
      <w:spacing w:val="-10"/>
      <w:kern w:val="28"/>
      <w:sz w:val="56"/>
      <w:szCs w:val="56"/>
    </w:rPr>
  </w:style>
  <w:style w:type="character" w:customStyle="1" w:styleId="16">
    <w:name w:val="标题 1 字符"/>
    <w:basedOn w:val="15"/>
    <w:link w:val="2"/>
    <w:qFormat/>
    <w:uiPriority w:val="9"/>
    <w:rPr>
      <w:rFonts w:asciiTheme="majorHAnsi" w:hAnsiTheme="majorHAnsi" w:eastAsiaTheme="majorEastAsia" w:cstheme="majorBidi"/>
      <w:color w:val="104862" w:themeColor="accent1" w:themeShade="BF"/>
      <w:sz w:val="48"/>
      <w:szCs w:val="48"/>
    </w:rPr>
  </w:style>
  <w:style w:type="character" w:customStyle="1" w:styleId="17">
    <w:name w:val="标题 2 字符"/>
    <w:basedOn w:val="15"/>
    <w:link w:val="3"/>
    <w:semiHidden/>
    <w:qFormat/>
    <w:uiPriority w:val="9"/>
    <w:rPr>
      <w:rFonts w:asciiTheme="majorHAnsi" w:hAnsiTheme="majorHAnsi" w:eastAsiaTheme="majorEastAsia" w:cstheme="majorBidi"/>
      <w:color w:val="104862" w:themeColor="accent1" w:themeShade="BF"/>
      <w:sz w:val="40"/>
      <w:szCs w:val="40"/>
    </w:rPr>
  </w:style>
  <w:style w:type="character" w:customStyle="1" w:styleId="18">
    <w:name w:val="标题 3 字符"/>
    <w:basedOn w:val="15"/>
    <w:link w:val="4"/>
    <w:semiHidden/>
    <w:qFormat/>
    <w:uiPriority w:val="9"/>
    <w:rPr>
      <w:rFonts w:asciiTheme="majorHAnsi" w:hAnsiTheme="majorHAnsi" w:eastAsiaTheme="majorEastAsia" w:cstheme="majorBidi"/>
      <w:color w:val="104862" w:themeColor="accent1" w:themeShade="BF"/>
      <w:sz w:val="32"/>
      <w:szCs w:val="32"/>
    </w:rPr>
  </w:style>
  <w:style w:type="character" w:customStyle="1" w:styleId="19">
    <w:name w:val="标题 4 字符"/>
    <w:basedOn w:val="15"/>
    <w:link w:val="5"/>
    <w:semiHidden/>
    <w:qFormat/>
    <w:uiPriority w:val="9"/>
    <w:rPr>
      <w:rFonts w:cstheme="majorBidi"/>
      <w:color w:val="104862" w:themeColor="accent1" w:themeShade="BF"/>
      <w:sz w:val="28"/>
      <w:szCs w:val="28"/>
    </w:rPr>
  </w:style>
  <w:style w:type="character" w:customStyle="1" w:styleId="20">
    <w:name w:val="标题 5 字符"/>
    <w:basedOn w:val="15"/>
    <w:link w:val="6"/>
    <w:semiHidden/>
    <w:qFormat/>
    <w:uiPriority w:val="9"/>
    <w:rPr>
      <w:rFonts w:cstheme="majorBidi"/>
      <w:color w:val="104862" w:themeColor="accent1" w:themeShade="BF"/>
      <w:sz w:val="24"/>
      <w:szCs w:val="24"/>
    </w:rPr>
  </w:style>
  <w:style w:type="character" w:customStyle="1" w:styleId="21">
    <w:name w:val="标题 6 字符"/>
    <w:basedOn w:val="15"/>
    <w:link w:val="7"/>
    <w:semiHidden/>
    <w:qFormat/>
    <w:uiPriority w:val="9"/>
    <w:rPr>
      <w:rFonts w:cstheme="majorBidi"/>
      <w:b/>
      <w:bCs/>
      <w:color w:val="104862" w:themeColor="accent1" w:themeShade="BF"/>
    </w:rPr>
  </w:style>
  <w:style w:type="character" w:customStyle="1" w:styleId="22">
    <w:name w:val="标题 7 字符"/>
    <w:basedOn w:val="15"/>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3">
    <w:name w:val="标题 8 字符"/>
    <w:basedOn w:val="15"/>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4">
    <w:name w:val="标题 9 字符"/>
    <w:basedOn w:val="15"/>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5">
    <w:name w:val="标题 字符"/>
    <w:basedOn w:val="15"/>
    <w:link w:val="13"/>
    <w:qFormat/>
    <w:uiPriority w:val="10"/>
    <w:rPr>
      <w:rFonts w:asciiTheme="majorHAnsi" w:hAnsiTheme="majorHAnsi" w:eastAsiaTheme="majorEastAsia" w:cstheme="majorBidi"/>
      <w:spacing w:val="-10"/>
      <w:kern w:val="28"/>
      <w:sz w:val="56"/>
      <w:szCs w:val="56"/>
    </w:rPr>
  </w:style>
  <w:style w:type="character" w:customStyle="1" w:styleId="26">
    <w:name w:val="副标题 字符"/>
    <w:basedOn w:val="15"/>
    <w:link w:val="12"/>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7">
    <w:name w:val="Quote"/>
    <w:basedOn w:val="1"/>
    <w:next w:val="1"/>
    <w:link w:val="28"/>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28">
    <w:name w:val="引用 字符"/>
    <w:basedOn w:val="15"/>
    <w:link w:val="27"/>
    <w:qFormat/>
    <w:uiPriority w:val="29"/>
    <w:rPr>
      <w:i/>
      <w:iCs/>
      <w:color w:val="404040" w:themeColor="text1" w:themeTint="BF"/>
      <w14:textFill>
        <w14:solidFill>
          <w14:schemeClr w14:val="tx1">
            <w14:lumMod w14:val="75000"/>
            <w14:lumOff w14:val="25000"/>
          </w14:schemeClr>
        </w14:solidFill>
      </w14:textFill>
    </w:rPr>
  </w:style>
  <w:style w:type="paragraph" w:styleId="29">
    <w:name w:val="List Paragraph"/>
    <w:basedOn w:val="1"/>
    <w:qFormat/>
    <w:uiPriority w:val="34"/>
    <w:pPr>
      <w:ind w:left="720"/>
      <w:contextualSpacing/>
    </w:pPr>
  </w:style>
  <w:style w:type="character" w:customStyle="1" w:styleId="30">
    <w:name w:val="Intense Emphasis"/>
    <w:basedOn w:val="15"/>
    <w:qFormat/>
    <w:uiPriority w:val="21"/>
    <w:rPr>
      <w:i/>
      <w:iCs/>
      <w:color w:val="104862" w:themeColor="accent1" w:themeShade="BF"/>
    </w:rPr>
  </w:style>
  <w:style w:type="paragraph" w:styleId="31">
    <w:name w:val="Intense Quote"/>
    <w:basedOn w:val="1"/>
    <w:next w:val="1"/>
    <w:link w:val="32"/>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2">
    <w:name w:val="明显引用 字符"/>
    <w:basedOn w:val="15"/>
    <w:link w:val="31"/>
    <w:qFormat/>
    <w:uiPriority w:val="30"/>
    <w:rPr>
      <w:i/>
      <w:iCs/>
      <w:color w:val="104862" w:themeColor="accent1" w:themeShade="BF"/>
    </w:rPr>
  </w:style>
  <w:style w:type="character" w:customStyle="1" w:styleId="33">
    <w:name w:val="Intense Reference"/>
    <w:basedOn w:val="15"/>
    <w:qFormat/>
    <w:uiPriority w:val="32"/>
    <w:rPr>
      <w:b/>
      <w:bCs/>
      <w:smallCaps/>
      <w:color w:val="104862" w:themeColor="accent1" w:themeShade="BF"/>
      <w:spacing w:val="5"/>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1302</Words>
  <Characters>1461</Characters>
  <Lines>82</Lines>
  <Paragraphs>60</Paragraphs>
  <TotalTime>15</TotalTime>
  <ScaleCrop>false</ScaleCrop>
  <LinksUpToDate>false</LinksUpToDate>
  <CharactersWithSpaces>1491</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2025-09-08T03:24:00Z</dcterms:created>
  <dc:creator>wu zhang</dc:creator>
  <cp:lastModifiedBy>片片～</cp:lastModifiedBy>
  <dcterms:modified xsi:type="dcterms:W3CDTF">2026-02-22T12:34:52Z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eyJoZGlkIjoiYThlOTk0M2E4ZmI5NTUyN2E4YjBiZjQzNmE2MDZkNDIiLCJ1c2VySWQiOiI0MDg4OTU1NTAifQ==</vt:lpwstr>
  </property>
  <property fmtid="{D5CDD505-2E9C-101B-9397-08002B2CF9AE}" pid="3" name="KSOProductBuildVer">
    <vt:lpwstr>2052-12.1.0.24657</vt:lpwstr>
  </property>
  <property fmtid="{D5CDD505-2E9C-101B-9397-08002B2CF9AE}" pid="4" name="ICV">
    <vt:lpwstr>D60A4B9D170A46A3830E90611B405610_13</vt:lpwstr>
  </property>
</Properties>
</file>