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0D4C85">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156" w:afterLines="50" w:afterAutospacing="0" w:line="240" w:lineRule="auto"/>
        <w:jc w:val="center"/>
        <w:textAlignment w:val="auto"/>
        <w:rPr>
          <w:b/>
          <w:color w:val="000000"/>
          <w:sz w:val="44"/>
          <w:szCs w:val="44"/>
        </w:rPr>
      </w:pPr>
      <w:r>
        <w:rPr>
          <w:rFonts w:hint="eastAsia"/>
          <w:b/>
          <w:color w:val="000000"/>
          <w:sz w:val="44"/>
          <w:szCs w:val="44"/>
        </w:rPr>
        <w:t>关于</w:t>
      </w:r>
      <w:bookmarkStart w:id="0" w:name="_Hlk136850322"/>
      <w:r>
        <w:rPr>
          <w:rFonts w:hint="eastAsia"/>
          <w:b/>
          <w:color w:val="000000"/>
          <w:sz w:val="44"/>
          <w:szCs w:val="44"/>
        </w:rPr>
        <w:t>镇江</w:t>
      </w:r>
      <w:r>
        <w:rPr>
          <w:rFonts w:hint="eastAsia"/>
          <w:b/>
          <w:color w:val="000000"/>
          <w:sz w:val="44"/>
          <w:szCs w:val="44"/>
          <w:lang w:val="en-US" w:eastAsia="zh-CN"/>
        </w:rPr>
        <w:t>市倡业新材料</w:t>
      </w:r>
      <w:r>
        <w:rPr>
          <w:rFonts w:hint="eastAsia"/>
          <w:b/>
          <w:color w:val="000000"/>
          <w:sz w:val="44"/>
          <w:szCs w:val="44"/>
        </w:rPr>
        <w:t>有限公司</w:t>
      </w:r>
      <w:bookmarkEnd w:id="0"/>
      <w:r>
        <w:rPr>
          <w:rFonts w:hint="eastAsia"/>
          <w:b/>
          <w:color w:val="000000"/>
          <w:sz w:val="44"/>
          <w:szCs w:val="44"/>
        </w:rPr>
        <w:t>破产清算案</w:t>
      </w:r>
    </w:p>
    <w:p w14:paraId="398E5898">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156" w:afterLines="50" w:afterAutospacing="0" w:line="240" w:lineRule="auto"/>
        <w:jc w:val="center"/>
        <w:textAlignment w:val="auto"/>
        <w:rPr>
          <w:b/>
          <w:sz w:val="44"/>
          <w:szCs w:val="44"/>
        </w:rPr>
      </w:pPr>
      <w:r>
        <w:rPr>
          <w:rFonts w:hint="eastAsia"/>
          <w:b/>
          <w:color w:val="000000"/>
          <w:sz w:val="44"/>
          <w:szCs w:val="44"/>
        </w:rPr>
        <w:t>遴选评估机构的公告</w:t>
      </w:r>
    </w:p>
    <w:p w14:paraId="0C53A932">
      <w:pPr>
        <w:keepNext w:val="0"/>
        <w:keepLines w:val="0"/>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val="0"/>
        <w:autoSpaceDN w:val="0"/>
        <w:bidi w:val="0"/>
        <w:adjustRightInd w:val="0"/>
        <w:snapToGrid/>
        <w:spacing w:line="560" w:lineRule="exact"/>
        <w:jc w:val="right"/>
        <w:textAlignment w:val="auto"/>
        <w:rPr>
          <w:rFonts w:ascii="仿宋" w:hAnsi="仿宋" w:eastAsia="仿宋"/>
          <w:bCs/>
          <w:sz w:val="30"/>
          <w:szCs w:val="30"/>
        </w:rPr>
      </w:pPr>
      <w:r>
        <w:rPr>
          <w:rFonts w:hint="eastAsia" w:ascii="仿宋" w:hAnsi="仿宋" w:eastAsia="仿宋" w:cs="Helvetica Neue"/>
          <w:color w:val="000000"/>
          <w:kern w:val="0"/>
          <w:sz w:val="30"/>
          <w:szCs w:val="30"/>
        </w:rPr>
        <w:t>（202</w:t>
      </w:r>
      <w:r>
        <w:rPr>
          <w:rFonts w:hint="eastAsia" w:ascii="仿宋" w:hAnsi="仿宋" w:eastAsia="仿宋" w:cs="Helvetica Neue"/>
          <w:color w:val="000000"/>
          <w:kern w:val="0"/>
          <w:sz w:val="30"/>
          <w:szCs w:val="30"/>
          <w:lang w:val="en-US" w:eastAsia="zh-CN"/>
        </w:rPr>
        <w:t>5</w:t>
      </w:r>
      <w:r>
        <w:rPr>
          <w:rFonts w:hint="eastAsia" w:ascii="仿宋" w:hAnsi="仿宋" w:eastAsia="仿宋" w:cs="Helvetica Neue"/>
          <w:color w:val="000000"/>
          <w:kern w:val="0"/>
          <w:sz w:val="30"/>
          <w:szCs w:val="30"/>
        </w:rPr>
        <w:t>）</w:t>
      </w:r>
      <w:r>
        <w:rPr>
          <w:rFonts w:hint="eastAsia" w:ascii="仿宋" w:hAnsi="仿宋" w:eastAsia="仿宋" w:cs="Helvetica Neue"/>
          <w:color w:val="000000"/>
          <w:kern w:val="0"/>
          <w:sz w:val="30"/>
          <w:szCs w:val="30"/>
          <w:lang w:val="en-US" w:eastAsia="zh-CN"/>
        </w:rPr>
        <w:t>倡业</w:t>
      </w:r>
      <w:r>
        <w:rPr>
          <w:rFonts w:hint="eastAsia" w:ascii="仿宋" w:hAnsi="仿宋" w:eastAsia="仿宋" w:cs="Helvetica Neue"/>
          <w:color w:val="000000"/>
          <w:kern w:val="0"/>
          <w:sz w:val="30"/>
          <w:szCs w:val="30"/>
        </w:rPr>
        <w:t>破管字第0</w:t>
      </w:r>
      <w:r>
        <w:rPr>
          <w:rFonts w:hint="eastAsia" w:ascii="仿宋" w:hAnsi="仿宋" w:eastAsia="仿宋" w:cs="Helvetica Neue"/>
          <w:color w:val="000000"/>
          <w:kern w:val="0"/>
          <w:sz w:val="30"/>
          <w:szCs w:val="30"/>
          <w:lang w:val="en-US" w:eastAsia="zh-CN"/>
        </w:rPr>
        <w:t>13</w:t>
      </w:r>
      <w:r>
        <w:rPr>
          <w:rFonts w:hint="eastAsia" w:ascii="仿宋" w:hAnsi="仿宋" w:eastAsia="仿宋" w:cs="Helvetica Neue"/>
          <w:color w:val="000000"/>
          <w:kern w:val="0"/>
          <w:sz w:val="30"/>
          <w:szCs w:val="30"/>
        </w:rPr>
        <w:t>号</w:t>
      </w:r>
    </w:p>
    <w:p w14:paraId="7D40893C">
      <w:pPr>
        <w:keepNext w:val="0"/>
        <w:keepLines w:val="0"/>
        <w:pageBreakBefore w:v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镇江经济开发区人民法院于2025年10月30日作出(2025)苏1191破申57号民事裁定，裁定受理镇江市倡业新材料有限公司（以下简称倡业公司）破产清算案，并于2025年10月30日作出（2025）苏1191破48号决定，指定江苏江成律师事务所担任</w:t>
      </w:r>
      <w:r>
        <w:rPr>
          <w:rFonts w:hint="eastAsia" w:ascii="仿宋" w:hAnsi="仿宋" w:eastAsia="仿宋" w:cs="仿宋"/>
          <w:color w:val="000000"/>
          <w:kern w:val="0"/>
          <w:sz w:val="32"/>
          <w:szCs w:val="32"/>
          <w:lang w:val="en-US" w:eastAsia="zh-CN"/>
        </w:rPr>
        <w:t>倡业公司</w:t>
      </w:r>
      <w:r>
        <w:rPr>
          <w:rFonts w:hint="eastAsia" w:ascii="仿宋" w:hAnsi="仿宋" w:eastAsia="仿宋" w:cs="仿宋"/>
          <w:color w:val="000000"/>
          <w:kern w:val="0"/>
          <w:sz w:val="32"/>
          <w:szCs w:val="32"/>
        </w:rPr>
        <w:t>管理人。</w:t>
      </w:r>
    </w:p>
    <w:p w14:paraId="6A43AE05">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依照《中华人民共和国企业破产法》第二十八条第一款之规定，管理人根据破产清算工作进展，拟公开选聘具有资质及相关业务经验的评估机构对</w:t>
      </w:r>
      <w:r>
        <w:rPr>
          <w:rFonts w:hint="eastAsia" w:ascii="仿宋" w:hAnsi="仿宋" w:eastAsia="仿宋" w:cs="仿宋"/>
          <w:sz w:val="32"/>
          <w:szCs w:val="32"/>
          <w:lang w:eastAsia="zh-CN"/>
        </w:rPr>
        <w:t>倡业公司</w:t>
      </w:r>
      <w:r>
        <w:rPr>
          <w:rFonts w:hint="eastAsia" w:ascii="仿宋" w:hAnsi="仿宋" w:eastAsia="仿宋" w:cs="仿宋"/>
          <w:sz w:val="32"/>
          <w:szCs w:val="32"/>
          <w:lang w:val="en-US" w:eastAsia="zh-CN"/>
        </w:rPr>
        <w:t>资产</w:t>
      </w:r>
      <w:r>
        <w:rPr>
          <w:rFonts w:hint="eastAsia" w:ascii="仿宋" w:hAnsi="仿宋" w:eastAsia="仿宋" w:cs="仿宋"/>
          <w:sz w:val="32"/>
          <w:szCs w:val="32"/>
        </w:rPr>
        <w:t xml:space="preserve">进行评估，现将相关遴选事项公告如下： </w:t>
      </w:r>
    </w:p>
    <w:p w14:paraId="7544D6E2">
      <w:pPr>
        <w:keepNext w:val="0"/>
        <w:keepLines w:val="0"/>
        <w:pageBreakBefore w:val="0"/>
        <w:widowControl w:val="0"/>
        <w:kinsoku/>
        <w:wordWrap/>
        <w:overflowPunct/>
        <w:topLinePunct w:val="0"/>
        <w:bidi w:val="0"/>
        <w:snapToGrid/>
        <w:spacing w:line="560" w:lineRule="exact"/>
        <w:ind w:firstLine="643" w:firstLineChars="200"/>
        <w:jc w:val="both"/>
        <w:textAlignment w:val="auto"/>
        <w:rPr>
          <w:rFonts w:hint="eastAsia" w:ascii="仿宋" w:hAnsi="仿宋" w:eastAsia="仿宋" w:cs="仿宋"/>
          <w:b/>
          <w:sz w:val="32"/>
          <w:szCs w:val="32"/>
        </w:rPr>
      </w:pPr>
      <w:r>
        <w:rPr>
          <w:rFonts w:hint="eastAsia" w:ascii="仿宋" w:hAnsi="仿宋" w:eastAsia="仿宋" w:cs="仿宋"/>
          <w:b/>
          <w:sz w:val="32"/>
          <w:szCs w:val="32"/>
        </w:rPr>
        <w:t>一、企业基本情况</w:t>
      </w:r>
    </w:p>
    <w:p w14:paraId="788633CB">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镇江市倡业新材料有限公司，成立于20</w:t>
      </w:r>
      <w:r>
        <w:rPr>
          <w:rFonts w:hint="eastAsia" w:ascii="仿宋" w:hAnsi="仿宋" w:eastAsia="仿宋" w:cs="仿宋"/>
          <w:sz w:val="32"/>
          <w:szCs w:val="32"/>
          <w:lang w:val="en-US" w:eastAsia="zh-CN"/>
        </w:rPr>
        <w:t>17</w:t>
      </w:r>
      <w:r>
        <w:rPr>
          <w:rFonts w:hint="eastAsia" w:ascii="仿宋" w:hAnsi="仿宋" w:eastAsia="仿宋" w:cs="仿宋"/>
          <w:sz w:val="32"/>
          <w:szCs w:val="32"/>
        </w:rPr>
        <w:t>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8</w:t>
      </w:r>
      <w:r>
        <w:rPr>
          <w:rFonts w:hint="eastAsia" w:ascii="仿宋" w:hAnsi="仿宋" w:eastAsia="仿宋" w:cs="仿宋"/>
          <w:sz w:val="32"/>
          <w:szCs w:val="32"/>
        </w:rPr>
        <w:t>日，统一社会信用代码91321191MA1Q20QA0L，住所地镇江新区越河街199号，经营范围：稀土合金材料研发、销售；金属表面处理及热处理；电缆桥架、光伏支架、建筑支吊架及配件、铁路器材制造；C型钢、U型钢加工；普通货物道路运输、货物配载、货运代理（代办）服务；普通货物仓储（不含危险化学品）。（依法须经批准的项目，经相关部门批准后方可开展经营活动）</w:t>
      </w:r>
    </w:p>
    <w:p w14:paraId="6F8FFF4C">
      <w:pPr>
        <w:keepNext w:val="0"/>
        <w:keepLines w:val="0"/>
        <w:pageBreakBefore w:val="0"/>
        <w:widowControl w:val="0"/>
        <w:kinsoku/>
        <w:wordWrap/>
        <w:overflowPunct/>
        <w:topLinePunct w:val="0"/>
        <w:bidi w:val="0"/>
        <w:snapToGrid/>
        <w:spacing w:line="560" w:lineRule="exact"/>
        <w:ind w:firstLine="643" w:firstLineChars="200"/>
        <w:jc w:val="both"/>
        <w:textAlignment w:val="auto"/>
        <w:rPr>
          <w:rFonts w:hint="eastAsia" w:ascii="仿宋" w:hAnsi="仿宋" w:eastAsia="仿宋" w:cs="仿宋"/>
          <w:b/>
          <w:sz w:val="32"/>
          <w:szCs w:val="32"/>
        </w:rPr>
      </w:pPr>
      <w:r>
        <w:rPr>
          <w:rFonts w:hint="eastAsia" w:ascii="仿宋" w:hAnsi="仿宋" w:eastAsia="仿宋" w:cs="仿宋"/>
          <w:b/>
          <w:sz w:val="32"/>
          <w:szCs w:val="32"/>
        </w:rPr>
        <w:t>二、评审方式</w:t>
      </w:r>
    </w:p>
    <w:p w14:paraId="16EF373A">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请有意向的中介机构按照本公告要求准备材料，并于202</w:t>
      </w:r>
      <w:r>
        <w:rPr>
          <w:rFonts w:hint="eastAsia" w:ascii="仿宋" w:hAnsi="仿宋" w:eastAsia="仿宋" w:cs="仿宋"/>
          <w:sz w:val="32"/>
          <w:szCs w:val="32"/>
          <w:lang w:val="en-US" w:eastAsia="zh-CN"/>
        </w:rPr>
        <w:t>6</w:t>
      </w:r>
      <w:r>
        <w:rPr>
          <w:rFonts w:hint="eastAsia" w:ascii="仿宋" w:hAnsi="仿宋" w:eastAsia="仿宋" w:cs="仿宋"/>
          <w:sz w:val="32"/>
          <w:szCs w:val="32"/>
        </w:rPr>
        <w:t>年</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hint="eastAsia" w:ascii="仿宋" w:hAnsi="仿宋" w:eastAsia="仿宋" w:cs="仿宋"/>
          <w:sz w:val="32"/>
          <w:szCs w:val="32"/>
          <w:lang w:val="en-US" w:eastAsia="zh-CN"/>
        </w:rPr>
        <w:t>13</w:t>
      </w:r>
      <w:r>
        <w:rPr>
          <w:rFonts w:hint="eastAsia" w:ascii="仿宋" w:hAnsi="仿宋" w:eastAsia="仿宋" w:cs="仿宋"/>
          <w:sz w:val="32"/>
          <w:szCs w:val="32"/>
        </w:rPr>
        <w:t>日</w:t>
      </w:r>
      <w:r>
        <w:rPr>
          <w:rFonts w:hint="eastAsia" w:ascii="仿宋" w:hAnsi="仿宋" w:eastAsia="仿宋" w:cs="仿宋"/>
          <w:sz w:val="32"/>
          <w:szCs w:val="32"/>
          <w:lang w:val="en-US" w:eastAsia="zh-CN"/>
        </w:rPr>
        <w:t>18</w:t>
      </w:r>
      <w:r>
        <w:rPr>
          <w:rFonts w:hint="eastAsia" w:ascii="仿宋" w:hAnsi="仿宋" w:eastAsia="仿宋" w:cs="仿宋"/>
          <w:sz w:val="32"/>
          <w:szCs w:val="32"/>
        </w:rPr>
        <w:t>时前向管理人报名，递交参选文件，具体参选事项请咨询管理人。</w:t>
      </w:r>
    </w:p>
    <w:p w14:paraId="2FC8413F">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管理人将根据遴选的结果，选定评估机构后报</w:t>
      </w:r>
      <w:r>
        <w:rPr>
          <w:rFonts w:hint="eastAsia" w:ascii="仿宋" w:hAnsi="仿宋" w:eastAsia="仿宋" w:cs="仿宋"/>
          <w:color w:val="000000"/>
          <w:kern w:val="0"/>
          <w:sz w:val="32"/>
          <w:szCs w:val="32"/>
        </w:rPr>
        <w:t>镇江经济开发区人民法院</w:t>
      </w:r>
      <w:r>
        <w:rPr>
          <w:rFonts w:hint="eastAsia" w:ascii="仿宋" w:hAnsi="仿宋" w:eastAsia="仿宋" w:cs="仿宋"/>
          <w:sz w:val="32"/>
          <w:szCs w:val="32"/>
        </w:rPr>
        <w:t>备案。</w:t>
      </w:r>
    </w:p>
    <w:p w14:paraId="671D4927">
      <w:pPr>
        <w:keepNext w:val="0"/>
        <w:keepLines w:val="0"/>
        <w:pageBreakBefore w:val="0"/>
        <w:widowControl w:val="0"/>
        <w:kinsoku/>
        <w:wordWrap/>
        <w:overflowPunct/>
        <w:topLinePunct w:val="0"/>
        <w:bidi w:val="0"/>
        <w:snapToGrid/>
        <w:spacing w:line="560" w:lineRule="exact"/>
        <w:ind w:firstLine="643" w:firstLineChars="200"/>
        <w:jc w:val="both"/>
        <w:textAlignment w:val="auto"/>
        <w:rPr>
          <w:rFonts w:hint="eastAsia" w:ascii="仿宋" w:hAnsi="仿宋" w:eastAsia="仿宋" w:cs="仿宋"/>
          <w:b/>
          <w:sz w:val="32"/>
          <w:szCs w:val="32"/>
        </w:rPr>
      </w:pPr>
      <w:r>
        <w:rPr>
          <w:rFonts w:hint="eastAsia" w:ascii="仿宋" w:hAnsi="仿宋" w:eastAsia="仿宋" w:cs="仿宋"/>
          <w:b/>
          <w:sz w:val="32"/>
          <w:szCs w:val="32"/>
        </w:rPr>
        <w:t>三、工作内容</w:t>
      </w:r>
    </w:p>
    <w:p w14:paraId="042F107B">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1.完成</w:t>
      </w:r>
      <w:r>
        <w:rPr>
          <w:rFonts w:hint="eastAsia" w:ascii="仿宋" w:hAnsi="仿宋" w:eastAsia="仿宋" w:cs="仿宋"/>
          <w:sz w:val="32"/>
          <w:szCs w:val="32"/>
          <w:lang w:eastAsia="zh-CN"/>
        </w:rPr>
        <w:t>倡业公司</w:t>
      </w:r>
      <w:r>
        <w:rPr>
          <w:rFonts w:hint="eastAsia" w:ascii="仿宋" w:hAnsi="仿宋" w:eastAsia="仿宋" w:cs="仿宋"/>
          <w:sz w:val="32"/>
          <w:szCs w:val="32"/>
          <w:lang w:val="en-US" w:eastAsia="zh-CN"/>
        </w:rPr>
        <w:t>全部资产</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各项评估工作，向管理人出具评估报告</w:t>
      </w:r>
      <w:r>
        <w:rPr>
          <w:rFonts w:hint="eastAsia" w:ascii="仿宋" w:hAnsi="仿宋" w:eastAsia="仿宋" w:cs="仿宋"/>
          <w:sz w:val="32"/>
          <w:szCs w:val="32"/>
          <w:lang w:eastAsia="zh-CN"/>
        </w:rPr>
        <w:t>；</w:t>
      </w:r>
    </w:p>
    <w:p w14:paraId="5EA46808">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2.根据管理人或人民法院的要求，就专门问题出具专项报告；</w:t>
      </w:r>
    </w:p>
    <w:p w14:paraId="67837D2B">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3.根据管理人或人民法院的要求，对评估报告、专项报告进行解释、说明；</w:t>
      </w:r>
    </w:p>
    <w:p w14:paraId="41DCBC67">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4.其他需要完成的事项。</w:t>
      </w:r>
    </w:p>
    <w:p w14:paraId="50886D1A">
      <w:pPr>
        <w:keepNext w:val="0"/>
        <w:keepLines w:val="0"/>
        <w:pageBreakBefore w:val="0"/>
        <w:widowControl w:val="0"/>
        <w:kinsoku/>
        <w:wordWrap/>
        <w:overflowPunct/>
        <w:topLinePunct w:val="0"/>
        <w:bidi w:val="0"/>
        <w:snapToGrid/>
        <w:spacing w:line="560" w:lineRule="exact"/>
        <w:ind w:firstLine="643" w:firstLineChars="200"/>
        <w:jc w:val="both"/>
        <w:textAlignment w:val="auto"/>
        <w:rPr>
          <w:rFonts w:hint="eastAsia" w:ascii="仿宋" w:hAnsi="仿宋" w:eastAsia="仿宋" w:cs="仿宋"/>
          <w:b/>
          <w:sz w:val="32"/>
          <w:szCs w:val="32"/>
        </w:rPr>
      </w:pPr>
      <w:r>
        <w:rPr>
          <w:rFonts w:hint="eastAsia" w:ascii="仿宋" w:hAnsi="仿宋" w:eastAsia="仿宋" w:cs="仿宋"/>
          <w:b/>
          <w:sz w:val="32"/>
          <w:szCs w:val="32"/>
        </w:rPr>
        <w:t>四、需要提交的材料</w:t>
      </w:r>
    </w:p>
    <w:p w14:paraId="76587D29">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参与本次遴选工作的中介机构需提供包括但不限于下列内容的参选文件（一式二份），以备管理人遴选评定：</w:t>
      </w:r>
    </w:p>
    <w:p w14:paraId="7FD537E0">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1.参加</w:t>
      </w:r>
      <w:r>
        <w:rPr>
          <w:rFonts w:hint="eastAsia" w:ascii="仿宋" w:hAnsi="仿宋" w:eastAsia="仿宋" w:cs="仿宋"/>
          <w:sz w:val="32"/>
          <w:szCs w:val="32"/>
          <w:lang w:eastAsia="zh-CN"/>
        </w:rPr>
        <w:t>倡业公司</w:t>
      </w:r>
      <w:r>
        <w:rPr>
          <w:rFonts w:hint="eastAsia" w:ascii="仿宋" w:hAnsi="仿宋" w:eastAsia="仿宋" w:cs="仿宋"/>
          <w:sz w:val="32"/>
          <w:szCs w:val="32"/>
        </w:rPr>
        <w:t>破产案评估工作的意向书（原件）；</w:t>
      </w:r>
    </w:p>
    <w:p w14:paraId="70AEC2F5">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2.有效的评估机构注册证书（复印件）；</w:t>
      </w:r>
    </w:p>
    <w:p w14:paraId="210AFC8D">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3.企业法人营业执照（复印件）；</w:t>
      </w:r>
    </w:p>
    <w:p w14:paraId="56466996">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4.项目负责评估师执业资格证书（复印件）；</w:t>
      </w:r>
    </w:p>
    <w:p w14:paraId="17A844E8">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5.评估机构入围人民法院司法鉴定机构名册的证明（复印件）；</w:t>
      </w:r>
    </w:p>
    <w:p w14:paraId="65912872">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6.项目陈述书（包括但不限于机构基本情况、本机构参与大型企业重整或清算工作经验、项目现场负责人重整或清算工作经验、项目团队人员组成、本项目的工作计划和安排、报价等）；</w:t>
      </w:r>
    </w:p>
    <w:p w14:paraId="796B95E4">
      <w:pPr>
        <w:keepNext w:val="0"/>
        <w:keepLines w:val="0"/>
        <w:pageBreakBefore w:val="0"/>
        <w:widowControl w:val="0"/>
        <w:kinsoku/>
        <w:wordWrap/>
        <w:overflowPunct/>
        <w:topLinePunct w:val="0"/>
        <w:bidi w:val="0"/>
        <w:snapToGrid/>
        <w:spacing w:line="560" w:lineRule="exact"/>
        <w:ind w:firstLine="643"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7.承诺书（承诺社会中介机构不存在依照法律、司法解释规定应当回避情形，并承诺自被管理人选定为评估机构之日起</w:t>
      </w:r>
      <w:r>
        <w:rPr>
          <w:rFonts w:hint="eastAsia" w:ascii="仿宋" w:hAnsi="仿宋" w:eastAsia="仿宋" w:cs="仿宋"/>
          <w:b/>
          <w:bCs/>
          <w:sz w:val="32"/>
          <w:szCs w:val="32"/>
          <w:lang w:val="en-US" w:eastAsia="zh-CN"/>
        </w:rPr>
        <w:t>15</w:t>
      </w:r>
      <w:r>
        <w:rPr>
          <w:rFonts w:hint="eastAsia" w:ascii="仿宋" w:hAnsi="仿宋" w:eastAsia="仿宋" w:cs="仿宋"/>
          <w:b/>
          <w:bCs/>
          <w:sz w:val="32"/>
          <w:szCs w:val="32"/>
        </w:rPr>
        <w:t>日内完成评估工作，出具评估报告，如因评估机构原因导致逾期，同意从委托评估的报酬中扣减相应报酬。）</w:t>
      </w:r>
    </w:p>
    <w:p w14:paraId="200587D5">
      <w:pPr>
        <w:keepNext w:val="0"/>
        <w:keepLines w:val="0"/>
        <w:pageBreakBefore w:val="0"/>
        <w:widowControl w:val="0"/>
        <w:kinsoku/>
        <w:wordWrap/>
        <w:overflowPunct/>
        <w:topLinePunct w:val="0"/>
        <w:bidi w:val="0"/>
        <w:snapToGrid/>
        <w:spacing w:line="560" w:lineRule="exact"/>
        <w:ind w:firstLine="643"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参选机构在递交参选文件时，应将参选文件装订成册，密封后加盖单位公章。</w:t>
      </w:r>
      <w:bookmarkStart w:id="1" w:name="_GoBack"/>
      <w:bookmarkEnd w:id="1"/>
    </w:p>
    <w:p w14:paraId="6495A84D">
      <w:pPr>
        <w:keepNext w:val="0"/>
        <w:keepLines w:val="0"/>
        <w:pageBreakBefore w:val="0"/>
        <w:widowControl w:val="0"/>
        <w:kinsoku/>
        <w:wordWrap/>
        <w:overflowPunct/>
        <w:topLinePunct w:val="0"/>
        <w:bidi w:val="0"/>
        <w:snapToGrid/>
        <w:spacing w:line="560" w:lineRule="exact"/>
        <w:ind w:firstLine="643" w:firstLineChars="200"/>
        <w:jc w:val="both"/>
        <w:textAlignment w:val="auto"/>
        <w:rPr>
          <w:rFonts w:hint="eastAsia" w:ascii="仿宋" w:hAnsi="仿宋" w:eastAsia="仿宋" w:cs="仿宋"/>
          <w:b/>
          <w:sz w:val="32"/>
          <w:szCs w:val="32"/>
        </w:rPr>
      </w:pPr>
      <w:r>
        <w:rPr>
          <w:rFonts w:hint="eastAsia" w:ascii="仿宋" w:hAnsi="仿宋" w:eastAsia="仿宋" w:cs="仿宋"/>
          <w:b/>
          <w:sz w:val="32"/>
          <w:szCs w:val="32"/>
        </w:rPr>
        <w:t>六、报名方式</w:t>
      </w:r>
    </w:p>
    <w:p w14:paraId="571144A9">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1.联系人：</w:t>
      </w:r>
      <w:r>
        <w:rPr>
          <w:rFonts w:hint="eastAsia" w:ascii="仿宋" w:hAnsi="仿宋" w:eastAsia="仿宋" w:cs="仿宋"/>
          <w:sz w:val="32"/>
          <w:szCs w:val="32"/>
          <w:lang w:val="en-US" w:eastAsia="zh-CN"/>
        </w:rPr>
        <w:t>易长川</w:t>
      </w:r>
      <w:r>
        <w:rPr>
          <w:rFonts w:hint="eastAsia" w:ascii="仿宋" w:hAnsi="仿宋" w:eastAsia="仿宋" w:cs="仿宋"/>
          <w:sz w:val="32"/>
          <w:szCs w:val="32"/>
        </w:rPr>
        <w:t>律师1889665</w:t>
      </w:r>
      <w:r>
        <w:rPr>
          <w:rFonts w:hint="eastAsia" w:ascii="仿宋" w:hAnsi="仿宋" w:eastAsia="仿宋" w:cs="仿宋"/>
          <w:sz w:val="32"/>
          <w:szCs w:val="32"/>
          <w:lang w:val="en-US" w:eastAsia="zh-CN"/>
        </w:rPr>
        <w:t>6172</w:t>
      </w:r>
      <w:r>
        <w:rPr>
          <w:rFonts w:hint="eastAsia" w:ascii="仿宋" w:hAnsi="仿宋" w:eastAsia="仿宋" w:cs="仿宋"/>
          <w:sz w:val="32"/>
          <w:szCs w:val="32"/>
        </w:rPr>
        <w:t>；</w:t>
      </w:r>
    </w:p>
    <w:p w14:paraId="6A606BE3">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2.联系地址：镇江市京口区健康路1</w:t>
      </w:r>
      <w:r>
        <w:rPr>
          <w:rFonts w:hint="eastAsia" w:ascii="仿宋" w:hAnsi="仿宋" w:eastAsia="仿宋" w:cs="仿宋"/>
          <w:sz w:val="32"/>
          <w:szCs w:val="32"/>
          <w:lang w:val="en-US" w:eastAsia="zh-CN"/>
        </w:rPr>
        <w:t>-1</w:t>
      </w:r>
      <w:r>
        <w:rPr>
          <w:rFonts w:hint="eastAsia" w:ascii="仿宋" w:hAnsi="仿宋" w:eastAsia="仿宋" w:cs="仿宋"/>
          <w:sz w:val="32"/>
          <w:szCs w:val="32"/>
        </w:rPr>
        <w:t>号江苏江成律师事务所。</w:t>
      </w:r>
    </w:p>
    <w:p w14:paraId="583B152E">
      <w:pPr>
        <w:keepNext w:val="0"/>
        <w:keepLines w:val="0"/>
        <w:pageBreakBefore w:val="0"/>
        <w:widowControl w:val="0"/>
        <w:kinsoku/>
        <w:wordWrap/>
        <w:overflowPunct/>
        <w:topLinePunct w:val="0"/>
        <w:bidi w:val="0"/>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sz w:val="32"/>
          <w:szCs w:val="32"/>
        </w:rPr>
        <w:t>七、选聘方式</w:t>
      </w:r>
    </w:p>
    <w:p w14:paraId="4CF2BA9F">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管理人将根据参选单位提供的相关资质、报价、破产业务业绩和工作</w:t>
      </w:r>
      <w:r>
        <w:rPr>
          <w:rFonts w:hint="eastAsia" w:ascii="仿宋" w:hAnsi="仿宋" w:eastAsia="仿宋" w:cs="仿宋"/>
          <w:sz w:val="32"/>
          <w:szCs w:val="32"/>
          <w:lang w:val="en-US" w:eastAsia="zh-CN"/>
        </w:rPr>
        <w:t>方案</w:t>
      </w:r>
      <w:r>
        <w:rPr>
          <w:rFonts w:hint="eastAsia" w:ascii="仿宋" w:hAnsi="仿宋" w:eastAsia="仿宋" w:cs="仿宋"/>
          <w:sz w:val="32"/>
          <w:szCs w:val="32"/>
        </w:rPr>
        <w:t>等各项因素综合考量，在镇江经济开发区人民法院的监督下进行</w:t>
      </w:r>
      <w:r>
        <w:rPr>
          <w:rFonts w:hint="eastAsia" w:ascii="仿宋" w:hAnsi="仿宋" w:eastAsia="仿宋" w:cs="仿宋"/>
          <w:sz w:val="32"/>
          <w:szCs w:val="32"/>
          <w:lang w:val="en-US" w:eastAsia="zh-CN"/>
        </w:rPr>
        <w:t>评审</w:t>
      </w:r>
      <w:r>
        <w:rPr>
          <w:rFonts w:hint="eastAsia" w:ascii="仿宋" w:hAnsi="仿宋" w:eastAsia="仿宋" w:cs="仿宋"/>
          <w:sz w:val="32"/>
          <w:szCs w:val="32"/>
        </w:rPr>
        <w:t>，选定评估机构与其签订委托合同，并报镇江经济开发区人民法院备案，未被聘用的机构不再另行通知。</w:t>
      </w:r>
    </w:p>
    <w:p w14:paraId="01FBDDAB">
      <w:pPr>
        <w:keepNext w:val="0"/>
        <w:keepLines w:val="0"/>
        <w:pageBreakBefore w:val="0"/>
        <w:widowControl w:val="0"/>
        <w:kinsoku/>
        <w:wordWrap/>
        <w:overflowPunct/>
        <w:topLinePunct w:val="0"/>
        <w:bidi w:val="0"/>
        <w:snapToGrid/>
        <w:spacing w:line="560" w:lineRule="exact"/>
        <w:ind w:firstLine="643"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八、监督单位</w:t>
      </w:r>
    </w:p>
    <w:p w14:paraId="6CEDA575">
      <w:pPr>
        <w:keepNext w:val="0"/>
        <w:keepLines w:val="0"/>
        <w:pageBreakBefore w:val="0"/>
        <w:widowControl w:val="0"/>
        <w:kinsoku/>
        <w:wordWrap/>
        <w:overflowPunct/>
        <w:topLinePunct w:val="0"/>
        <w:bidi w:val="0"/>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rPr>
        <w:t>镇江经济开发区人民法院</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监督电话：0511-85319031</w:t>
      </w:r>
    </w:p>
    <w:p w14:paraId="3988DD14">
      <w:pPr>
        <w:keepNext w:val="0"/>
        <w:keepLines w:val="0"/>
        <w:pageBreakBefore w:val="0"/>
        <w:widowControl w:val="0"/>
        <w:kinsoku/>
        <w:wordWrap/>
        <w:overflowPunct/>
        <w:topLinePunct w:val="0"/>
        <w:bidi w:val="0"/>
        <w:snapToGrid/>
        <w:spacing w:line="560" w:lineRule="exact"/>
        <w:jc w:val="both"/>
        <w:textAlignment w:val="auto"/>
        <w:rPr>
          <w:rFonts w:hint="eastAsia" w:ascii="仿宋" w:hAnsi="仿宋" w:eastAsia="仿宋" w:cs="仿宋"/>
          <w:b/>
          <w:sz w:val="32"/>
          <w:szCs w:val="32"/>
        </w:rPr>
      </w:pPr>
    </w:p>
    <w:p w14:paraId="380BEC97">
      <w:pPr>
        <w:keepNext w:val="0"/>
        <w:keepLines w:val="0"/>
        <w:pageBreakBefore w:val="0"/>
        <w:widowControl w:val="0"/>
        <w:kinsoku/>
        <w:wordWrap/>
        <w:overflowPunct/>
        <w:topLinePunct w:val="0"/>
        <w:bidi w:val="0"/>
        <w:snapToGrid/>
        <w:spacing w:line="560" w:lineRule="exact"/>
        <w:ind w:firstLine="643" w:firstLineChars="200"/>
        <w:jc w:val="right"/>
        <w:textAlignment w:val="auto"/>
        <w:rPr>
          <w:rFonts w:hint="eastAsia" w:ascii="仿宋" w:hAnsi="仿宋" w:eastAsia="仿宋" w:cs="仿宋"/>
          <w:b/>
          <w:sz w:val="32"/>
          <w:szCs w:val="32"/>
        </w:rPr>
      </w:pPr>
      <w:r>
        <w:rPr>
          <w:rFonts w:hint="eastAsia" w:ascii="仿宋" w:hAnsi="仿宋" w:eastAsia="仿宋" w:cs="仿宋"/>
          <w:b/>
          <w:sz w:val="32"/>
          <w:szCs w:val="32"/>
        </w:rPr>
        <w:t>镇江市倡业新材料有限公司管理人</w:t>
      </w:r>
    </w:p>
    <w:p w14:paraId="3AD930E4">
      <w:pPr>
        <w:keepNext w:val="0"/>
        <w:keepLines w:val="0"/>
        <w:pageBreakBefore w:val="0"/>
        <w:widowControl w:val="0"/>
        <w:kinsoku/>
        <w:wordWrap/>
        <w:overflowPunct/>
        <w:topLinePunct w:val="0"/>
        <w:bidi w:val="0"/>
        <w:snapToGrid/>
        <w:spacing w:line="560" w:lineRule="exact"/>
        <w:ind w:firstLine="643" w:firstLineChars="200"/>
        <w:jc w:val="both"/>
        <w:textAlignment w:val="auto"/>
        <w:rPr>
          <w:rFonts w:hint="eastAsia" w:ascii="仿宋" w:hAnsi="仿宋" w:eastAsia="仿宋" w:cs="仿宋"/>
          <w:b/>
          <w:sz w:val="32"/>
          <w:szCs w:val="32"/>
        </w:rPr>
      </w:pPr>
      <w:r>
        <w:rPr>
          <w:rFonts w:hint="eastAsia" w:ascii="仿宋" w:hAnsi="仿宋" w:eastAsia="仿宋" w:cs="仿宋"/>
          <w:b/>
          <w:sz w:val="32"/>
          <w:szCs w:val="32"/>
        </w:rPr>
        <w:t xml:space="preserve"> </w:t>
      </w:r>
      <w:r>
        <w:rPr>
          <w:rFonts w:hint="eastAsia" w:ascii="仿宋" w:hAnsi="仿宋" w:eastAsia="仿宋" w:cs="仿宋"/>
          <w:b/>
          <w:sz w:val="32"/>
          <w:szCs w:val="32"/>
          <w:lang w:val="en-US" w:eastAsia="zh-CN"/>
        </w:rPr>
        <w:t xml:space="preserve">                          </w:t>
      </w:r>
      <w:r>
        <w:rPr>
          <w:rFonts w:hint="eastAsia" w:ascii="仿宋" w:hAnsi="仿宋" w:eastAsia="仿宋" w:cs="仿宋"/>
          <w:b/>
          <w:sz w:val="32"/>
          <w:szCs w:val="32"/>
        </w:rPr>
        <w:t>二〇二</w:t>
      </w:r>
      <w:r>
        <w:rPr>
          <w:rFonts w:hint="eastAsia" w:ascii="仿宋" w:hAnsi="仿宋" w:eastAsia="仿宋" w:cs="仿宋"/>
          <w:b/>
          <w:sz w:val="32"/>
          <w:szCs w:val="32"/>
          <w:lang w:val="en-US" w:eastAsia="zh-CN"/>
        </w:rPr>
        <w:t>六</w:t>
      </w:r>
      <w:r>
        <w:rPr>
          <w:rFonts w:hint="eastAsia" w:ascii="仿宋" w:hAnsi="仿宋" w:eastAsia="仿宋" w:cs="仿宋"/>
          <w:b/>
          <w:sz w:val="32"/>
          <w:szCs w:val="32"/>
        </w:rPr>
        <w:t>年</w:t>
      </w:r>
      <w:r>
        <w:rPr>
          <w:rFonts w:hint="eastAsia" w:ascii="仿宋" w:hAnsi="仿宋" w:eastAsia="仿宋" w:cs="仿宋"/>
          <w:b/>
          <w:sz w:val="32"/>
          <w:szCs w:val="32"/>
          <w:lang w:val="en-US" w:eastAsia="zh-CN"/>
        </w:rPr>
        <w:t>二</w:t>
      </w:r>
      <w:r>
        <w:rPr>
          <w:rFonts w:hint="eastAsia" w:ascii="仿宋" w:hAnsi="仿宋" w:eastAsia="仿宋" w:cs="仿宋"/>
          <w:b/>
          <w:sz w:val="32"/>
          <w:szCs w:val="32"/>
        </w:rPr>
        <w:t>月</w:t>
      </w:r>
      <w:r>
        <w:rPr>
          <w:rFonts w:hint="eastAsia" w:ascii="仿宋" w:hAnsi="仿宋" w:eastAsia="仿宋" w:cs="仿宋"/>
          <w:b/>
          <w:sz w:val="32"/>
          <w:szCs w:val="32"/>
          <w:lang w:val="en-US" w:eastAsia="zh-CN"/>
        </w:rPr>
        <w:t>五</w:t>
      </w:r>
      <w:r>
        <w:rPr>
          <w:rFonts w:hint="eastAsia" w:ascii="仿宋" w:hAnsi="仿宋" w:eastAsia="仿宋" w:cs="仿宋"/>
          <w:b/>
          <w:sz w:val="32"/>
          <w:szCs w:val="32"/>
        </w:rPr>
        <w:t xml:space="preserve">日    </w:t>
      </w:r>
    </w:p>
    <w:p w14:paraId="79C3510F">
      <w:pPr>
        <w:keepNext w:val="0"/>
        <w:keepLines w:val="0"/>
        <w:pageBreakBefore w:val="0"/>
        <w:widowControl w:val="0"/>
        <w:kinsoku/>
        <w:wordWrap/>
        <w:overflowPunct/>
        <w:topLinePunct w:val="0"/>
        <w:bidi w:val="0"/>
        <w:snapToGrid/>
        <w:spacing w:line="560" w:lineRule="exact"/>
        <w:ind w:firstLine="643" w:firstLineChars="200"/>
        <w:jc w:val="both"/>
        <w:textAlignment w:val="auto"/>
        <w:rPr>
          <w:rFonts w:hint="eastAsia" w:ascii="仿宋" w:hAnsi="仿宋" w:eastAsia="仿宋" w:cs="仿宋"/>
          <w:b/>
          <w:sz w:val="32"/>
          <w:szCs w:val="32"/>
        </w:rPr>
      </w:pPr>
    </w:p>
    <w:p w14:paraId="06BA4E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附：1.(2025)苏1191破申57号民事裁定</w:t>
      </w:r>
      <w:r>
        <w:rPr>
          <w:rFonts w:hint="eastAsia" w:ascii="仿宋" w:hAnsi="仿宋" w:eastAsia="仿宋" w:cs="仿宋"/>
          <w:sz w:val="32"/>
          <w:szCs w:val="32"/>
          <w:lang w:val="en-US" w:eastAsia="zh-CN"/>
        </w:rPr>
        <w:t>书</w:t>
      </w:r>
      <w:r>
        <w:rPr>
          <w:rFonts w:hint="eastAsia" w:ascii="仿宋" w:hAnsi="仿宋" w:eastAsia="仿宋" w:cs="仿宋"/>
          <w:sz w:val="32"/>
          <w:szCs w:val="32"/>
        </w:rPr>
        <w:t>；</w:t>
      </w:r>
    </w:p>
    <w:p w14:paraId="4F2603AA">
      <w:pPr>
        <w:keepNext w:val="0"/>
        <w:keepLines w:val="0"/>
        <w:pageBreakBefore w:val="0"/>
        <w:widowControl w:val="0"/>
        <w:kinsoku/>
        <w:wordWrap/>
        <w:overflowPunct/>
        <w:topLinePunct w:val="0"/>
        <w:autoSpaceDE/>
        <w:autoSpaceDN/>
        <w:bidi w:val="0"/>
        <w:adjustRightInd/>
        <w:snapToGrid/>
        <w:spacing w:line="560" w:lineRule="exact"/>
        <w:ind w:firstLine="1280" w:firstLineChars="400"/>
        <w:jc w:val="both"/>
        <w:textAlignment w:val="auto"/>
        <w:rPr>
          <w:rFonts w:ascii="仿宋" w:hAnsi="仿宋" w:eastAsia="仿宋"/>
          <w:sz w:val="32"/>
          <w:szCs w:val="32"/>
        </w:rPr>
      </w:pPr>
      <w:r>
        <w:rPr>
          <w:rFonts w:hint="eastAsia" w:ascii="仿宋" w:hAnsi="仿宋" w:eastAsia="仿宋" w:cs="仿宋"/>
          <w:sz w:val="32"/>
          <w:szCs w:val="32"/>
        </w:rPr>
        <w:t>2.（2025）苏1191破48号决定书。</w:t>
      </w:r>
    </w:p>
    <w:sectPr>
      <w:headerReference r:id="rId3" w:type="default"/>
      <w:footerReference r:id="rId4" w:type="default"/>
      <w:pgSz w:w="11906" w:h="16838"/>
      <w:pgMar w:top="1361" w:right="1474" w:bottom="136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757B3">
    <w:pPr>
      <w:pStyle w:val="2"/>
      <w:jc w:val="center"/>
      <w:rPr>
        <w:rFonts w:ascii="宋体" w:hAnsi="宋体"/>
        <w:sz w:val="21"/>
        <w:szCs w:val="21"/>
      </w:rPr>
    </w:pPr>
    <w:r>
      <w:rPr>
        <w:rFonts w:hint="eastAsia" w:ascii="宋体" w:hAnsi="宋体"/>
        <w:sz w:val="21"/>
        <w:szCs w:val="21"/>
      </w:rPr>
      <w:t xml:space="preserve">第 </w:t>
    </w:r>
    <w:sdt>
      <w:sdtPr>
        <w:rPr>
          <w:rFonts w:ascii="宋体" w:hAnsi="宋体"/>
          <w:sz w:val="21"/>
          <w:szCs w:val="21"/>
        </w:rPr>
        <w:id w:val="-2051526639"/>
        <w:docPartObj>
          <w:docPartGallery w:val="autotext"/>
        </w:docPartObj>
      </w:sdtPr>
      <w:sdtEndPr>
        <w:rPr>
          <w:rFonts w:ascii="宋体" w:hAnsi="宋体"/>
          <w:sz w:val="21"/>
          <w:szCs w:val="21"/>
        </w:rPr>
      </w:sdtEndPr>
      <w:sdtContent>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2</w:t>
        </w:r>
        <w:r>
          <w:rPr>
            <w:rFonts w:ascii="宋体" w:hAnsi="宋体"/>
            <w:sz w:val="21"/>
            <w:szCs w:val="21"/>
          </w:rPr>
          <w:fldChar w:fldCharType="end"/>
        </w:r>
      </w:sdtContent>
    </w:sdt>
    <w:r>
      <w:rPr>
        <w:rFonts w:ascii="宋体" w:hAnsi="宋体"/>
        <w:sz w:val="21"/>
        <w:szCs w:val="21"/>
      </w:rPr>
      <w:t xml:space="preserve"> </w:t>
    </w:r>
    <w:r>
      <w:rPr>
        <w:rFonts w:hint="eastAsia" w:ascii="宋体" w:hAnsi="宋体"/>
        <w:sz w:val="21"/>
        <w:szCs w:val="21"/>
      </w:rPr>
      <w:t>页 共 3</w:t>
    </w:r>
    <w:r>
      <w:rPr>
        <w:rFonts w:ascii="宋体" w:hAnsi="宋体"/>
        <w:sz w:val="21"/>
        <w:szCs w:val="21"/>
      </w:rPr>
      <w:t xml:space="preserve"> </w:t>
    </w:r>
    <w:r>
      <w:rPr>
        <w:rFonts w:hint="eastAsia" w:ascii="宋体" w:hAnsi="宋体"/>
        <w:sz w:val="21"/>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B48E0">
    <w:pPr>
      <w:pStyle w:val="3"/>
      <w:jc w:val="both"/>
      <w:rPr>
        <w:rFonts w:ascii="宋体" w:hAnsi="宋体"/>
        <w:sz w:val="21"/>
        <w:szCs w:val="21"/>
      </w:rPr>
    </w:pPr>
    <w:r>
      <w:rPr>
        <w:rFonts w:hint="eastAsia" w:ascii="宋体" w:hAnsi="宋体"/>
        <w:sz w:val="21"/>
        <w:szCs w:val="21"/>
      </w:rPr>
      <w:t>镇江</w:t>
    </w:r>
    <w:r>
      <w:rPr>
        <w:rFonts w:hint="eastAsia" w:ascii="宋体" w:hAnsi="宋体"/>
        <w:sz w:val="21"/>
        <w:szCs w:val="21"/>
        <w:lang w:val="en-US" w:eastAsia="zh-CN"/>
      </w:rPr>
      <w:t>市倡业新材料</w:t>
    </w:r>
    <w:r>
      <w:rPr>
        <w:rFonts w:hint="eastAsia" w:ascii="宋体" w:hAnsi="宋体"/>
        <w:sz w:val="21"/>
        <w:szCs w:val="21"/>
      </w:rPr>
      <w:t xml:space="preserve">有限公司破产清算案 </w:t>
    </w:r>
    <w:r>
      <w:rPr>
        <w:rFonts w:ascii="宋体" w:hAnsi="宋体"/>
        <w:sz w:val="21"/>
        <w:szCs w:val="21"/>
      </w:rPr>
      <w:t xml:space="preserve">                                </w:t>
    </w:r>
    <w:r>
      <w:rPr>
        <w:rFonts w:hint="eastAsia" w:ascii="宋体" w:hAnsi="宋体"/>
        <w:sz w:val="21"/>
        <w:szCs w:val="21"/>
      </w:rPr>
      <w:t>江苏江成律师事务所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lZWE1ZmU1NjY1ODg3ZDE0NTM5MWM1YTQ3YWE5OWUifQ=="/>
  </w:docVars>
  <w:rsids>
    <w:rsidRoot w:val="001E0587"/>
    <w:rsid w:val="001C62E3"/>
    <w:rsid w:val="001E0587"/>
    <w:rsid w:val="002F3CE8"/>
    <w:rsid w:val="00471C57"/>
    <w:rsid w:val="004A2B4F"/>
    <w:rsid w:val="0050245B"/>
    <w:rsid w:val="005C4714"/>
    <w:rsid w:val="005D7004"/>
    <w:rsid w:val="00645C72"/>
    <w:rsid w:val="00741E3C"/>
    <w:rsid w:val="00A45728"/>
    <w:rsid w:val="021A09FD"/>
    <w:rsid w:val="0BAE10F3"/>
    <w:rsid w:val="0DAC4F1A"/>
    <w:rsid w:val="118C0FD9"/>
    <w:rsid w:val="17051824"/>
    <w:rsid w:val="20384A18"/>
    <w:rsid w:val="3D793B23"/>
    <w:rsid w:val="3EC3599D"/>
    <w:rsid w:val="409869F8"/>
    <w:rsid w:val="410D4CAE"/>
    <w:rsid w:val="43C2456C"/>
    <w:rsid w:val="46741285"/>
    <w:rsid w:val="525A7F6F"/>
    <w:rsid w:val="59317A63"/>
    <w:rsid w:val="5BAA161F"/>
    <w:rsid w:val="5BEF34D6"/>
    <w:rsid w:val="5CA82223"/>
    <w:rsid w:val="65F067C8"/>
    <w:rsid w:val="6A254BD0"/>
    <w:rsid w:val="6B002EBF"/>
    <w:rsid w:val="76F53C3E"/>
    <w:rsid w:val="78482494"/>
    <w:rsid w:val="7A2973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widowControl/>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link w:val="7"/>
    <w:unhideWhenUsed/>
    <w:qFormat/>
    <w:uiPriority w:val="99"/>
    <w:pPr>
      <w:widowControl/>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qFormat/>
    <w:uiPriority w:val="99"/>
    <w:rPr>
      <w:rFonts w:ascii="Times New Roman" w:hAnsi="Times New Roman" w:eastAsia="宋体" w:cs="Times New Roman"/>
      <w:sz w:val="18"/>
      <w:szCs w:val="18"/>
    </w:rPr>
  </w:style>
  <w:style w:type="character" w:customStyle="1" w:styleId="8">
    <w:name w:val="页脚 字符"/>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1231</Words>
  <Characters>1330</Characters>
  <Lines>8</Lines>
  <Paragraphs>2</Paragraphs>
  <TotalTime>15</TotalTime>
  <ScaleCrop>false</ScaleCrop>
  <LinksUpToDate>false</LinksUpToDate>
  <CharactersWithSpaces>1364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2023-05-26T01:21:00Z</dcterms:created>
  <dc:creator>豆豆 王</dc:creator>
  <cp:lastModifiedBy>夏天</cp:lastModifiedBy>
  <dcterms:modified xsi:type="dcterms:W3CDTF">2026-02-05T11:27:27Z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26258C8C84B34D4A8E8613919AD4DAAC_13</vt:lpwstr>
  </property>
  <property fmtid="{D5CDD505-2E9C-101B-9397-08002B2CF9AE}" pid="4" name="KSOTemplateDocerSaveRecord">
    <vt:lpwstr>eyJoZGlkIjoiYjZlZThmOTZkNDg2NTE5YzQ1ZjQ0MDY2M2FhZWI4MGIiLCJ1c2VySWQiOiIyMDYwOTA3MzUifQ==</vt:lpwstr>
  </property>
</Properties>
</file>