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3A77B9">
      <w:pPr>
        <w:pStyle w:val="12"/>
        <w:ind w:left="0" w:leftChars="0" w:firstLine="0" w:firstLineChars="0"/>
        <w:jc w:val="center"/>
        <w:rPr>
          <w:rFonts w:hint="eastAsia"/>
          <w:b/>
          <w:bCs/>
          <w:sz w:val="32"/>
          <w:szCs w:val="22"/>
          <w:lang w:val="en-US" w:eastAsia="zh-CN"/>
        </w:rPr>
      </w:pPr>
      <w:r>
        <w:rPr>
          <w:rFonts w:hint="eastAsia"/>
          <w:b/>
          <w:bCs/>
          <w:sz w:val="32"/>
          <w:szCs w:val="22"/>
        </w:rPr>
        <w:t>毕节市梧桐房地产开发有限公司</w:t>
      </w:r>
      <w:r>
        <w:rPr>
          <w:rFonts w:hint="eastAsia"/>
          <w:b/>
          <w:bCs/>
          <w:sz w:val="32"/>
          <w:szCs w:val="22"/>
          <w:lang w:val="en-US" w:eastAsia="zh-CN"/>
        </w:rPr>
        <w:t>预重整案</w:t>
      </w:r>
    </w:p>
    <w:p w14:paraId="487DF273">
      <w:pPr>
        <w:pStyle w:val="12"/>
        <w:ind w:left="0" w:leftChars="0" w:firstLine="0" w:firstLineChars="0"/>
        <w:jc w:val="center"/>
        <w:rPr>
          <w:b/>
          <w:bCs/>
          <w:sz w:val="32"/>
          <w:szCs w:val="22"/>
        </w:rPr>
      </w:pPr>
      <w:r>
        <w:rPr>
          <w:rFonts w:hint="eastAsia"/>
          <w:b/>
          <w:bCs/>
          <w:sz w:val="32"/>
          <w:szCs w:val="22"/>
          <w:lang w:val="en-US" w:eastAsia="zh-CN"/>
        </w:rPr>
        <w:t>重整</w:t>
      </w:r>
      <w:r>
        <w:rPr>
          <w:rFonts w:hint="eastAsia"/>
          <w:b/>
          <w:bCs/>
          <w:sz w:val="32"/>
          <w:szCs w:val="22"/>
        </w:rPr>
        <w:t>投资人招募公告</w:t>
      </w:r>
    </w:p>
    <w:p w14:paraId="4873866B">
      <w:pPr>
        <w:pStyle w:val="12"/>
        <w:ind w:left="0" w:leftChars="0" w:firstLine="480" w:firstLineChars="200"/>
      </w:pPr>
      <w:r>
        <w:rPr>
          <w:rFonts w:hint="eastAsia"/>
        </w:rPr>
        <w:t>贵州省毕节市七星关区人民法院</w:t>
      </w:r>
      <w:r>
        <w:t>于202</w:t>
      </w:r>
      <w:r>
        <w:rPr>
          <w:rFonts w:hint="eastAsia"/>
          <w:lang w:val="en-US" w:eastAsia="zh-CN"/>
        </w:rPr>
        <w:t>5</w:t>
      </w:r>
      <w:r>
        <w:t>年</w:t>
      </w:r>
      <w:r>
        <w:rPr>
          <w:rFonts w:hint="eastAsia"/>
          <w:lang w:val="en-US" w:eastAsia="zh-CN"/>
        </w:rPr>
        <w:t>12</w:t>
      </w:r>
      <w:r>
        <w:t>月</w:t>
      </w:r>
      <w:r>
        <w:rPr>
          <w:rFonts w:hint="eastAsia"/>
          <w:lang w:val="en-US" w:eastAsia="zh-CN"/>
        </w:rPr>
        <w:t>24</w:t>
      </w:r>
      <w:r>
        <w:t>日作出</w:t>
      </w:r>
      <w:r>
        <w:rPr>
          <w:rFonts w:hint="eastAsia"/>
          <w:lang w:eastAsia="zh-CN"/>
        </w:rPr>
        <w:t>（</w:t>
      </w:r>
      <w:r>
        <w:rPr>
          <w:rFonts w:hint="eastAsia"/>
        </w:rPr>
        <w:t>2025</w:t>
      </w:r>
      <w:r>
        <w:rPr>
          <w:rFonts w:hint="eastAsia"/>
          <w:lang w:eastAsia="zh-CN"/>
        </w:rPr>
        <w:t>）</w:t>
      </w:r>
      <w:r>
        <w:rPr>
          <w:rFonts w:hint="eastAsia"/>
        </w:rPr>
        <w:t>黔0502破申24号</w:t>
      </w:r>
      <w:r>
        <w:t>《</w:t>
      </w:r>
      <w:r>
        <w:rPr>
          <w:rFonts w:hint="eastAsia"/>
          <w:lang w:val="en-US" w:eastAsia="zh-CN"/>
        </w:rPr>
        <w:t>决定书</w:t>
      </w:r>
      <w:r>
        <w:t>》，</w:t>
      </w:r>
      <w:r>
        <w:rPr>
          <w:rFonts w:hint="eastAsia"/>
        </w:rPr>
        <w:t>决定对毕节市梧桐房地产开发有限公司（以下简称“</w:t>
      </w:r>
      <w:r>
        <w:rPr>
          <w:rFonts w:hint="eastAsia"/>
          <w:lang w:eastAsia="zh-CN"/>
        </w:rPr>
        <w:t>梧桐房开</w:t>
      </w:r>
      <w:r>
        <w:rPr>
          <w:rFonts w:hint="eastAsia"/>
        </w:rPr>
        <w:t>”</w:t>
      </w:r>
      <w:r>
        <w:rPr>
          <w:rFonts w:hint="eastAsia"/>
          <w:lang w:val="en-US" w:eastAsia="zh-CN"/>
        </w:rPr>
        <w:t>或“债务人”</w:t>
      </w:r>
      <w:r>
        <w:rPr>
          <w:rFonts w:hint="eastAsia"/>
        </w:rPr>
        <w:t>）进行预重整</w:t>
      </w:r>
      <w:r>
        <w:t>，并于同日作出</w:t>
      </w:r>
      <w:r>
        <w:rPr>
          <w:rFonts w:hint="eastAsia"/>
          <w:lang w:eastAsia="zh-CN"/>
        </w:rPr>
        <w:t>（</w:t>
      </w:r>
      <w:r>
        <w:rPr>
          <w:rFonts w:hint="eastAsia"/>
        </w:rPr>
        <w:t>2025</w:t>
      </w:r>
      <w:r>
        <w:rPr>
          <w:rFonts w:hint="eastAsia"/>
          <w:lang w:eastAsia="zh-CN"/>
        </w:rPr>
        <w:t>）</w:t>
      </w:r>
      <w:r>
        <w:rPr>
          <w:rFonts w:hint="eastAsia"/>
        </w:rPr>
        <w:t>黔0502破申24号</w:t>
      </w:r>
      <w:r>
        <w:t>之一《决定书》，</w:t>
      </w:r>
      <w:r>
        <w:rPr>
          <w:rFonts w:hint="eastAsia"/>
        </w:rPr>
        <w:t>毕节市七星关区推动梧桐凤凰城项目资产盘活工作专班和四川豪诚企业清算事务所有限公司贵州分公司担任</w:t>
      </w:r>
      <w:r>
        <w:rPr>
          <w:rFonts w:hint="eastAsia"/>
          <w:lang w:eastAsia="zh-CN"/>
        </w:rPr>
        <w:t>梧桐房开</w:t>
      </w:r>
      <w:r>
        <w:rPr>
          <w:rFonts w:hint="eastAsia"/>
        </w:rPr>
        <w:t>预重整期间的临时管理人</w:t>
      </w:r>
      <w:r>
        <w:t>（以下简称“临时管理人”）。为保障</w:t>
      </w:r>
      <w:r>
        <w:rPr>
          <w:rFonts w:hint="eastAsia"/>
          <w:lang w:eastAsia="zh-CN"/>
        </w:rPr>
        <w:t>梧桐房开</w:t>
      </w:r>
      <w:r>
        <w:t>顺利重整，提高债权清偿率及潜在投资人的投资信心，临时管理人</w:t>
      </w:r>
      <w:r>
        <w:rPr>
          <w:rFonts w:hint="eastAsia"/>
          <w:lang w:val="en-US" w:eastAsia="zh-CN"/>
        </w:rPr>
        <w:t>特</w:t>
      </w:r>
      <w:r>
        <w:t>开展</w:t>
      </w:r>
      <w:r>
        <w:rPr>
          <w:rFonts w:hint="eastAsia"/>
        </w:rPr>
        <w:t>重整投资人招募</w:t>
      </w:r>
      <w:r>
        <w:rPr>
          <w:rFonts w:hint="eastAsia"/>
          <w:lang w:val="en-US" w:eastAsia="zh-CN"/>
        </w:rPr>
        <w:t>工作</w:t>
      </w:r>
      <w:r>
        <w:t>。</w:t>
      </w:r>
    </w:p>
    <w:p w14:paraId="06F6A7DB">
      <w:pPr>
        <w:pStyle w:val="12"/>
        <w:ind w:left="0" w:leftChars="0" w:firstLine="480" w:firstLineChars="200"/>
      </w:pPr>
      <w:r>
        <w:rPr>
          <w:rFonts w:hint="eastAsia"/>
          <w:lang w:val="en-US" w:eastAsia="zh-CN"/>
        </w:rPr>
        <w:t>鉴于</w:t>
      </w:r>
      <w:r>
        <w:rPr>
          <w:rFonts w:hint="eastAsia"/>
          <w:lang w:eastAsia="zh-CN"/>
        </w:rPr>
        <w:t>梧桐房开</w:t>
      </w:r>
      <w:r>
        <w:rPr>
          <w:rFonts w:hint="eastAsia"/>
          <w:lang w:val="en-US" w:eastAsia="zh-CN"/>
        </w:rPr>
        <w:t>在预重整受理前</w:t>
      </w:r>
      <w:r>
        <w:t>已有意向投资人</w:t>
      </w:r>
      <w:r>
        <w:rPr>
          <w:rFonts w:hint="eastAsia"/>
          <w:lang w:eastAsia="zh-CN"/>
        </w:rPr>
        <w:t>，</w:t>
      </w:r>
      <w:r>
        <w:rPr>
          <w:rFonts w:hint="eastAsia"/>
          <w:lang w:val="en-US" w:eastAsia="zh-CN"/>
        </w:rPr>
        <w:t>其已就其投资意向向相关机构缴纳意向金</w:t>
      </w:r>
      <w:r>
        <w:t>，</w:t>
      </w:r>
      <w:r>
        <w:rPr>
          <w:highlight w:val="none"/>
        </w:rPr>
        <w:t>并提出了托底性投资报价。</w:t>
      </w:r>
      <w:r>
        <w:t>本次</w:t>
      </w:r>
      <w:r>
        <w:rPr>
          <w:rFonts w:hint="eastAsia"/>
          <w:lang w:val="en-US" w:eastAsia="zh-CN"/>
        </w:rPr>
        <w:t>投资人招募将以现有投资人投资条件为基准进行招募，</w:t>
      </w:r>
      <w:r>
        <w:t>报名的意向投资人的投资报价金额及保证金金额应当高于</w:t>
      </w:r>
      <w:r>
        <w:rPr>
          <w:rFonts w:hint="eastAsia"/>
          <w:lang w:val="en-US" w:eastAsia="zh-CN"/>
        </w:rPr>
        <w:t>现有意向投资人</w:t>
      </w:r>
      <w:r>
        <w:t>。</w:t>
      </w:r>
    </w:p>
    <w:p w14:paraId="36B931BC">
      <w:pPr>
        <w:pStyle w:val="12"/>
        <w:ind w:left="0" w:leftChars="0" w:firstLine="480" w:firstLineChars="200"/>
        <w:rPr>
          <w:rFonts w:hint="eastAsia" w:ascii="黑体" w:hAnsi="黑体" w:eastAsia="黑体" w:cs="黑体"/>
        </w:rPr>
      </w:pPr>
      <w:r>
        <w:rPr>
          <w:rFonts w:hint="eastAsia" w:ascii="黑体" w:hAnsi="黑体" w:eastAsia="黑体" w:cs="黑体"/>
        </w:rPr>
        <w:t>一、</w:t>
      </w:r>
      <w:r>
        <w:rPr>
          <w:rFonts w:hint="eastAsia" w:ascii="黑体" w:hAnsi="黑体" w:eastAsia="黑体" w:cs="黑体"/>
          <w:lang w:eastAsia="zh-CN"/>
        </w:rPr>
        <w:t>梧桐房开</w:t>
      </w:r>
      <w:r>
        <w:rPr>
          <w:rFonts w:hint="eastAsia" w:ascii="黑体" w:hAnsi="黑体" w:eastAsia="黑体" w:cs="黑体"/>
        </w:rPr>
        <w:t>概况</w:t>
      </w:r>
    </w:p>
    <w:p w14:paraId="51D460E1">
      <w:pPr>
        <w:pStyle w:val="12"/>
        <w:ind w:left="0" w:leftChars="0" w:firstLine="480" w:firstLineChars="200"/>
        <w:rPr>
          <w:rFonts w:hint="eastAsia" w:ascii="方正楷体_GB2312" w:hAnsi="方正楷体_GB2312" w:eastAsia="方正楷体_GB2312" w:cs="方正楷体_GB2312"/>
        </w:rPr>
      </w:pPr>
      <w:r>
        <w:rPr>
          <w:rFonts w:hint="eastAsia" w:ascii="方正楷体_GB2312" w:hAnsi="方正楷体_GB2312" w:eastAsia="方正楷体_GB2312" w:cs="方正楷体_GB2312"/>
        </w:rPr>
        <w:t>（一）工商基本信息</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9"/>
        <w:gridCol w:w="5663"/>
      </w:tblGrid>
      <w:tr w14:paraId="092FA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59" w:type="dxa"/>
          </w:tcPr>
          <w:p w14:paraId="31EF5558">
            <w:pPr>
              <w:pStyle w:val="12"/>
              <w:ind w:left="0" w:leftChars="0" w:firstLine="480" w:firstLineChars="200"/>
              <w:jc w:val="both"/>
              <w:rPr>
                <w:rFonts w:hint="default" w:ascii="Times New Roman" w:hAnsi="Times New Roman" w:cs="Times New Roman"/>
                <w:lang w:val="en-US" w:eastAsia="zh-CN"/>
              </w:rPr>
            </w:pPr>
            <w:r>
              <w:rPr>
                <w:rFonts w:hint="eastAsia" w:ascii="Times New Roman" w:hAnsi="Times New Roman" w:cs="Times New Roman"/>
                <w:lang w:val="en-US" w:eastAsia="zh-CN"/>
              </w:rPr>
              <w:t>企业名称</w:t>
            </w:r>
          </w:p>
        </w:tc>
        <w:tc>
          <w:tcPr>
            <w:tcW w:w="5663" w:type="dxa"/>
          </w:tcPr>
          <w:p w14:paraId="3142F61C">
            <w:pPr>
              <w:pStyle w:val="12"/>
              <w:ind w:left="0" w:leftChars="0" w:firstLine="480" w:firstLineChars="200"/>
              <w:jc w:val="both"/>
              <w:rPr>
                <w:rFonts w:hint="default" w:ascii="Times New Roman" w:hAnsi="Times New Roman" w:cs="Times New Roman"/>
                <w:lang w:val="en-US" w:eastAsia="zh-CN"/>
              </w:rPr>
            </w:pPr>
            <w:r>
              <w:rPr>
                <w:rFonts w:hint="eastAsia" w:ascii="Times New Roman" w:hAnsi="Times New Roman" w:cs="Times New Roman"/>
                <w:lang w:val="en-US" w:eastAsia="zh-CN"/>
              </w:rPr>
              <w:t>毕节市梧桐房地产开发有限公司</w:t>
            </w:r>
          </w:p>
        </w:tc>
      </w:tr>
      <w:tr w14:paraId="58510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59" w:type="dxa"/>
          </w:tcPr>
          <w:p w14:paraId="497F5A66">
            <w:pPr>
              <w:pStyle w:val="12"/>
              <w:ind w:left="0" w:leftChars="0" w:firstLine="480" w:firstLineChars="200"/>
              <w:jc w:val="both"/>
              <w:rPr>
                <w:rFonts w:hint="default" w:ascii="Times New Roman" w:hAnsi="Times New Roman" w:cs="Times New Roman"/>
                <w:lang w:val="en-US" w:eastAsia="zh-CN"/>
              </w:rPr>
            </w:pPr>
            <w:r>
              <w:rPr>
                <w:rFonts w:hint="eastAsia" w:ascii="Times New Roman" w:hAnsi="Times New Roman" w:cs="Times New Roman"/>
                <w:lang w:val="en-US" w:eastAsia="zh-CN"/>
              </w:rPr>
              <w:t>公司类型</w:t>
            </w:r>
          </w:p>
        </w:tc>
        <w:tc>
          <w:tcPr>
            <w:tcW w:w="5663" w:type="dxa"/>
          </w:tcPr>
          <w:p w14:paraId="62A267E1">
            <w:pPr>
              <w:pStyle w:val="12"/>
              <w:ind w:left="0" w:leftChars="0" w:firstLine="480" w:firstLineChars="200"/>
              <w:jc w:val="both"/>
              <w:rPr>
                <w:rFonts w:hint="default" w:ascii="Times New Roman" w:hAnsi="Times New Roman" w:cs="Times New Roman"/>
                <w:lang w:val="en-US" w:eastAsia="zh-CN"/>
              </w:rPr>
            </w:pPr>
            <w:r>
              <w:rPr>
                <w:rFonts w:hint="eastAsia" w:ascii="Times New Roman" w:hAnsi="Times New Roman" w:cs="Times New Roman"/>
                <w:lang w:val="en-US" w:eastAsia="zh-CN"/>
              </w:rPr>
              <w:t>有限责任公司（自然人投资或控股）</w:t>
            </w:r>
          </w:p>
        </w:tc>
      </w:tr>
      <w:tr w14:paraId="596B4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59" w:type="dxa"/>
          </w:tcPr>
          <w:p w14:paraId="2542D847">
            <w:pPr>
              <w:pStyle w:val="12"/>
              <w:ind w:left="0" w:leftChars="0" w:firstLine="480" w:firstLineChars="200"/>
              <w:jc w:val="both"/>
              <w:rPr>
                <w:rFonts w:hint="default" w:ascii="Times New Roman" w:hAnsi="Times New Roman" w:cs="Times New Roman"/>
                <w:lang w:val="en-US" w:eastAsia="zh-CN"/>
              </w:rPr>
            </w:pPr>
            <w:r>
              <w:rPr>
                <w:rFonts w:hint="eastAsia" w:ascii="Times New Roman" w:hAnsi="Times New Roman" w:cs="Times New Roman"/>
                <w:lang w:val="en-US" w:eastAsia="zh-CN"/>
              </w:rPr>
              <w:t>法定代表人</w:t>
            </w:r>
          </w:p>
        </w:tc>
        <w:tc>
          <w:tcPr>
            <w:tcW w:w="5663" w:type="dxa"/>
          </w:tcPr>
          <w:p w14:paraId="26604ABC">
            <w:pPr>
              <w:pStyle w:val="12"/>
              <w:ind w:left="0" w:leftChars="0" w:firstLine="480" w:firstLineChars="200"/>
              <w:jc w:val="both"/>
              <w:rPr>
                <w:rFonts w:hint="default" w:ascii="Times New Roman" w:hAnsi="Times New Roman" w:cs="Times New Roman"/>
                <w:lang w:val="en-US" w:eastAsia="zh-CN"/>
              </w:rPr>
            </w:pPr>
            <w:r>
              <w:rPr>
                <w:rFonts w:hint="eastAsia" w:ascii="Times New Roman" w:hAnsi="Times New Roman" w:cs="Times New Roman"/>
                <w:lang w:val="en-US" w:eastAsia="zh-CN"/>
              </w:rPr>
              <w:t>陈桐</w:t>
            </w:r>
          </w:p>
        </w:tc>
      </w:tr>
      <w:tr w14:paraId="7194D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59" w:type="dxa"/>
          </w:tcPr>
          <w:p w14:paraId="6611D795">
            <w:pPr>
              <w:pStyle w:val="12"/>
              <w:ind w:left="0" w:leftChars="0" w:firstLine="480" w:firstLineChars="200"/>
              <w:jc w:val="both"/>
              <w:rPr>
                <w:rFonts w:hint="default" w:ascii="Times New Roman" w:hAnsi="Times New Roman" w:cs="Times New Roman"/>
                <w:lang w:val="en-US" w:eastAsia="zh-CN"/>
              </w:rPr>
            </w:pPr>
            <w:r>
              <w:rPr>
                <w:rFonts w:hint="eastAsia" w:ascii="Times New Roman" w:hAnsi="Times New Roman" w:cs="Times New Roman"/>
                <w:lang w:val="en-US" w:eastAsia="zh-CN"/>
              </w:rPr>
              <w:t>统一社会信用代码</w:t>
            </w:r>
          </w:p>
        </w:tc>
        <w:tc>
          <w:tcPr>
            <w:tcW w:w="5663" w:type="dxa"/>
          </w:tcPr>
          <w:p w14:paraId="12EF93AE">
            <w:pPr>
              <w:pStyle w:val="12"/>
              <w:ind w:left="0" w:leftChars="0" w:firstLine="480" w:firstLineChars="200"/>
              <w:jc w:val="both"/>
              <w:rPr>
                <w:rFonts w:hint="default" w:ascii="Times New Roman" w:hAnsi="Times New Roman" w:cs="Times New Roman"/>
                <w:lang w:val="en-US" w:eastAsia="zh-CN"/>
              </w:rPr>
            </w:pPr>
            <w:r>
              <w:rPr>
                <w:rFonts w:hint="default" w:ascii="Times New Roman" w:hAnsi="Times New Roman" w:cs="Times New Roman"/>
                <w:lang w:val="en-US" w:eastAsia="zh-CN"/>
              </w:rPr>
              <w:t>915205003087666436</w:t>
            </w:r>
          </w:p>
        </w:tc>
      </w:tr>
      <w:tr w14:paraId="0ED24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59" w:type="dxa"/>
          </w:tcPr>
          <w:p w14:paraId="53F90C73">
            <w:pPr>
              <w:pStyle w:val="12"/>
              <w:ind w:left="0" w:leftChars="0" w:firstLine="480" w:firstLineChars="200"/>
              <w:jc w:val="both"/>
              <w:rPr>
                <w:rFonts w:hint="default" w:ascii="Times New Roman" w:hAnsi="Times New Roman" w:cs="Times New Roman"/>
                <w:lang w:val="en-US" w:eastAsia="zh-CN"/>
              </w:rPr>
            </w:pPr>
            <w:r>
              <w:rPr>
                <w:rFonts w:hint="eastAsia" w:ascii="Times New Roman" w:hAnsi="Times New Roman" w:cs="Times New Roman"/>
                <w:lang w:val="en-US" w:eastAsia="zh-CN"/>
              </w:rPr>
              <w:t>注册资本金</w:t>
            </w:r>
          </w:p>
        </w:tc>
        <w:tc>
          <w:tcPr>
            <w:tcW w:w="5663" w:type="dxa"/>
          </w:tcPr>
          <w:p w14:paraId="0CD25BB1">
            <w:pPr>
              <w:pStyle w:val="12"/>
              <w:ind w:left="0" w:leftChars="0" w:firstLine="480" w:firstLineChars="200"/>
              <w:jc w:val="both"/>
              <w:rPr>
                <w:rFonts w:hint="default" w:ascii="Times New Roman" w:hAnsi="Times New Roman" w:cs="Times New Roman"/>
                <w:lang w:val="en-US" w:eastAsia="zh-CN"/>
              </w:rPr>
            </w:pPr>
            <w:r>
              <w:rPr>
                <w:rFonts w:hint="eastAsia" w:ascii="Times New Roman" w:hAnsi="Times New Roman" w:cs="Times New Roman"/>
                <w:lang w:val="en-US" w:eastAsia="zh-CN"/>
              </w:rPr>
              <w:t>5000万元人民币</w:t>
            </w:r>
          </w:p>
        </w:tc>
      </w:tr>
      <w:tr w14:paraId="7AC8E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59" w:type="dxa"/>
          </w:tcPr>
          <w:p w14:paraId="1C7E0AE4">
            <w:pPr>
              <w:pStyle w:val="12"/>
              <w:ind w:left="0" w:leftChars="0" w:firstLine="480" w:firstLineChars="200"/>
              <w:jc w:val="both"/>
              <w:rPr>
                <w:rFonts w:hint="default" w:ascii="Times New Roman" w:hAnsi="Times New Roman" w:cs="Times New Roman"/>
                <w:lang w:val="en-US" w:eastAsia="zh-CN"/>
              </w:rPr>
            </w:pPr>
            <w:r>
              <w:rPr>
                <w:rFonts w:hint="eastAsia" w:ascii="Times New Roman" w:hAnsi="Times New Roman" w:cs="Times New Roman"/>
                <w:lang w:val="en-US" w:eastAsia="zh-CN"/>
              </w:rPr>
              <w:t>成立时间</w:t>
            </w:r>
          </w:p>
        </w:tc>
        <w:tc>
          <w:tcPr>
            <w:tcW w:w="5663" w:type="dxa"/>
          </w:tcPr>
          <w:p w14:paraId="3310AFFD">
            <w:pPr>
              <w:pStyle w:val="12"/>
              <w:ind w:left="0" w:leftChars="0" w:firstLine="480" w:firstLineChars="200"/>
              <w:jc w:val="both"/>
              <w:rPr>
                <w:rFonts w:hint="default" w:ascii="Times New Roman" w:hAnsi="Times New Roman" w:cs="Times New Roman"/>
                <w:lang w:val="en-US" w:eastAsia="zh-CN"/>
              </w:rPr>
            </w:pPr>
            <w:r>
              <w:rPr>
                <w:rFonts w:hint="eastAsia" w:ascii="Times New Roman" w:hAnsi="Times New Roman" w:cs="Times New Roman"/>
                <w:lang w:val="en-US" w:eastAsia="zh-CN"/>
              </w:rPr>
              <w:t>2014-07-16</w:t>
            </w:r>
          </w:p>
        </w:tc>
      </w:tr>
      <w:tr w14:paraId="4F9F1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59" w:type="dxa"/>
          </w:tcPr>
          <w:p w14:paraId="4E82D613">
            <w:pPr>
              <w:pStyle w:val="12"/>
              <w:ind w:left="0" w:leftChars="0" w:firstLine="480" w:firstLineChars="200"/>
              <w:jc w:val="both"/>
              <w:rPr>
                <w:rFonts w:hint="default" w:ascii="Times New Roman" w:hAnsi="Times New Roman" w:cs="Times New Roman"/>
                <w:lang w:val="en-US" w:eastAsia="zh-CN"/>
              </w:rPr>
            </w:pPr>
            <w:r>
              <w:rPr>
                <w:rFonts w:hint="eastAsia" w:ascii="Times New Roman" w:hAnsi="Times New Roman" w:cs="Times New Roman"/>
                <w:lang w:val="en-US" w:eastAsia="zh-CN"/>
              </w:rPr>
              <w:t>住所</w:t>
            </w:r>
          </w:p>
        </w:tc>
        <w:tc>
          <w:tcPr>
            <w:tcW w:w="5663" w:type="dxa"/>
          </w:tcPr>
          <w:p w14:paraId="0D5BADD6">
            <w:pPr>
              <w:pStyle w:val="12"/>
              <w:ind w:left="0" w:leftChars="0" w:firstLine="480" w:firstLineChars="200"/>
              <w:jc w:val="both"/>
              <w:rPr>
                <w:rFonts w:hint="default" w:ascii="Times New Roman" w:hAnsi="Times New Roman" w:cs="Times New Roman"/>
                <w:lang w:val="en-US" w:eastAsia="zh-CN"/>
              </w:rPr>
            </w:pPr>
            <w:r>
              <w:rPr>
                <w:rFonts w:hint="default" w:ascii="Times New Roman" w:hAnsi="Times New Roman" w:cs="Times New Roman"/>
                <w:lang w:val="en-US" w:eastAsia="zh-CN"/>
              </w:rPr>
              <w:t>贵州省毕节市金海湖新区办事处旁</w:t>
            </w:r>
          </w:p>
        </w:tc>
      </w:tr>
      <w:tr w14:paraId="08377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59" w:type="dxa"/>
          </w:tcPr>
          <w:p w14:paraId="24F327DA">
            <w:pPr>
              <w:pStyle w:val="12"/>
              <w:ind w:left="0" w:leftChars="0" w:firstLine="480" w:firstLineChars="200"/>
              <w:jc w:val="both"/>
              <w:rPr>
                <w:rFonts w:hint="default" w:ascii="Times New Roman" w:hAnsi="Times New Roman" w:cs="Times New Roman"/>
                <w:lang w:val="en-US" w:eastAsia="zh-CN"/>
              </w:rPr>
            </w:pPr>
            <w:r>
              <w:rPr>
                <w:rFonts w:hint="eastAsia" w:ascii="Times New Roman" w:hAnsi="Times New Roman" w:cs="Times New Roman"/>
                <w:lang w:val="en-US" w:eastAsia="zh-CN"/>
              </w:rPr>
              <w:t>股东及持股比例</w:t>
            </w:r>
          </w:p>
        </w:tc>
        <w:tc>
          <w:tcPr>
            <w:tcW w:w="5663" w:type="dxa"/>
          </w:tcPr>
          <w:p w14:paraId="2938A98D">
            <w:pPr>
              <w:pStyle w:val="12"/>
              <w:ind w:left="479" w:leftChars="228" w:firstLine="0" w:firstLineChars="0"/>
              <w:jc w:val="both"/>
              <w:rPr>
                <w:rFonts w:hint="default" w:ascii="Times New Roman" w:hAnsi="Times New Roman" w:cs="Times New Roman"/>
                <w:lang w:val="en-US" w:eastAsia="zh-CN"/>
              </w:rPr>
            </w:pPr>
            <w:r>
              <w:rPr>
                <w:rFonts w:hint="eastAsia" w:ascii="Times New Roman" w:hAnsi="Times New Roman" w:cs="Times New Roman"/>
                <w:lang w:val="en-US" w:eastAsia="zh-CN"/>
              </w:rPr>
              <w:t>股东1：陈桐，95%</w:t>
            </w:r>
            <w:r>
              <w:rPr>
                <w:rFonts w:hint="eastAsia" w:ascii="Times New Roman" w:hAnsi="Times New Roman" w:cs="Times New Roman"/>
                <w:lang w:val="en-US" w:eastAsia="zh-CN"/>
              </w:rPr>
              <w:br w:type="textWrapping"/>
            </w:r>
            <w:r>
              <w:rPr>
                <w:rFonts w:hint="eastAsia" w:ascii="Times New Roman" w:hAnsi="Times New Roman" w:cs="Times New Roman"/>
                <w:lang w:val="en-US" w:eastAsia="zh-CN"/>
              </w:rPr>
              <w:t>股东2：沈国远，5%</w:t>
            </w:r>
          </w:p>
        </w:tc>
      </w:tr>
      <w:tr w14:paraId="706FB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59" w:type="dxa"/>
          </w:tcPr>
          <w:p w14:paraId="191E0FE4">
            <w:pPr>
              <w:pStyle w:val="12"/>
              <w:ind w:left="0" w:leftChars="0" w:firstLine="480" w:firstLineChars="200"/>
              <w:jc w:val="both"/>
              <w:rPr>
                <w:rFonts w:hint="default" w:ascii="Times New Roman" w:hAnsi="Times New Roman" w:cs="Times New Roman"/>
                <w:lang w:val="en-US" w:eastAsia="zh-CN"/>
              </w:rPr>
            </w:pPr>
            <w:r>
              <w:rPr>
                <w:rFonts w:hint="eastAsia" w:ascii="Times New Roman" w:hAnsi="Times New Roman" w:cs="Times New Roman"/>
                <w:lang w:val="en-US" w:eastAsia="zh-CN"/>
              </w:rPr>
              <w:t>经营范围</w:t>
            </w:r>
          </w:p>
        </w:tc>
        <w:tc>
          <w:tcPr>
            <w:tcW w:w="5663" w:type="dxa"/>
          </w:tcPr>
          <w:p w14:paraId="0FC53F41">
            <w:pPr>
              <w:pStyle w:val="12"/>
              <w:ind w:left="0" w:leftChars="0" w:firstLine="480" w:firstLineChars="200"/>
              <w:jc w:val="both"/>
              <w:rPr>
                <w:rFonts w:hint="default" w:ascii="Times New Roman" w:hAnsi="Times New Roman" w:cs="Times New Roman"/>
                <w:lang w:val="en-US" w:eastAsia="zh-CN"/>
              </w:rPr>
            </w:pPr>
            <w:r>
              <w:rPr>
                <w:rFonts w:hint="default" w:ascii="Times New Roman" w:hAnsi="Times New Roman" w:cs="Times New Roman"/>
                <w:lang w:val="en-US" w:eastAsia="zh-CN"/>
              </w:rPr>
              <w:t>房地产开发；物业咨询管理；非金融性项目投资；房屋中介；房屋销售。</w:t>
            </w:r>
          </w:p>
        </w:tc>
      </w:tr>
      <w:tr w14:paraId="6D96D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59" w:type="dxa"/>
          </w:tcPr>
          <w:p w14:paraId="48817A2D">
            <w:pPr>
              <w:pStyle w:val="12"/>
              <w:ind w:left="0" w:leftChars="0" w:firstLine="480" w:firstLineChars="200"/>
              <w:jc w:val="both"/>
              <w:rPr>
                <w:rFonts w:hint="default" w:ascii="Times New Roman" w:hAnsi="Times New Roman" w:cs="Times New Roman"/>
                <w:lang w:val="en-US" w:eastAsia="zh-CN"/>
              </w:rPr>
            </w:pPr>
            <w:r>
              <w:rPr>
                <w:rFonts w:hint="eastAsia" w:ascii="Times New Roman" w:hAnsi="Times New Roman" w:cs="Times New Roman"/>
                <w:lang w:val="en-US" w:eastAsia="zh-CN"/>
              </w:rPr>
              <w:t>登记状态</w:t>
            </w:r>
          </w:p>
        </w:tc>
        <w:tc>
          <w:tcPr>
            <w:tcW w:w="5663" w:type="dxa"/>
          </w:tcPr>
          <w:p w14:paraId="13B43994">
            <w:pPr>
              <w:pStyle w:val="12"/>
              <w:ind w:left="0" w:leftChars="0" w:firstLine="480" w:firstLineChars="200"/>
              <w:jc w:val="both"/>
              <w:rPr>
                <w:rFonts w:hint="default" w:ascii="Times New Roman" w:hAnsi="Times New Roman" w:cs="Times New Roman"/>
                <w:lang w:val="en-US" w:eastAsia="zh-CN"/>
              </w:rPr>
            </w:pPr>
            <w:r>
              <w:rPr>
                <w:rFonts w:hint="eastAsia" w:ascii="Times New Roman" w:hAnsi="Times New Roman" w:cs="Times New Roman"/>
                <w:lang w:val="en-US" w:eastAsia="zh-CN"/>
              </w:rPr>
              <w:t>存续</w:t>
            </w:r>
          </w:p>
        </w:tc>
      </w:tr>
    </w:tbl>
    <w:p w14:paraId="546D3966">
      <w:pPr>
        <w:pStyle w:val="12"/>
        <w:ind w:left="0" w:leftChars="0" w:firstLine="480" w:firstLineChars="200"/>
        <w:rPr>
          <w:rFonts w:hint="eastAsia" w:ascii="方正楷体_GB2312" w:hAnsi="方正楷体_GB2312" w:eastAsia="方正楷体_GB2312" w:cs="方正楷体_GB2312"/>
        </w:rPr>
      </w:pPr>
      <w:r>
        <w:rPr>
          <w:rFonts w:hint="eastAsia" w:ascii="方正楷体_GB2312" w:hAnsi="方正楷体_GB2312" w:eastAsia="方正楷体_GB2312" w:cs="方正楷体_GB2312"/>
        </w:rPr>
        <w:t>（二）</w:t>
      </w:r>
      <w:r>
        <w:rPr>
          <w:rFonts w:hint="eastAsia" w:ascii="方正楷体_GB2312" w:hAnsi="方正楷体_GB2312" w:eastAsia="方正楷体_GB2312" w:cs="方正楷体_GB2312"/>
          <w:lang w:val="en-US" w:eastAsia="zh-CN"/>
        </w:rPr>
        <w:t>项目基本</w:t>
      </w:r>
      <w:r>
        <w:rPr>
          <w:rFonts w:hint="eastAsia" w:ascii="方正楷体_GB2312" w:hAnsi="方正楷体_GB2312" w:eastAsia="方正楷体_GB2312" w:cs="方正楷体_GB2312"/>
        </w:rPr>
        <w:t>情况</w:t>
      </w:r>
    </w:p>
    <w:p w14:paraId="3374BC3C">
      <w:pPr>
        <w:pStyle w:val="12"/>
        <w:ind w:left="0" w:leftChars="0" w:firstLine="480" w:firstLineChars="200"/>
        <w:rPr>
          <w:rFonts w:hint="default" w:eastAsia="宋体"/>
          <w:highlight w:val="none"/>
          <w:lang w:val="en-US" w:eastAsia="zh-CN"/>
        </w:rPr>
      </w:pPr>
      <w:r>
        <w:rPr>
          <w:rFonts w:hint="eastAsia"/>
          <w:highlight w:val="none"/>
          <w:lang w:eastAsia="zh-CN"/>
        </w:rPr>
        <w:t>梧桐房开在取得位于毕节市金海湖新区办事处杨柳村，瓦厂村、平乡村共计161</w:t>
      </w:r>
      <w:r>
        <w:rPr>
          <w:rFonts w:hint="eastAsia"/>
          <w:highlight w:val="none"/>
          <w:lang w:val="en-US" w:eastAsia="zh-CN"/>
        </w:rPr>
        <w:t>,</w:t>
      </w:r>
      <w:r>
        <w:rPr>
          <w:rFonts w:hint="eastAsia"/>
          <w:highlight w:val="none"/>
          <w:lang w:eastAsia="zh-CN"/>
        </w:rPr>
        <w:t>064.38㎡土地使用权后，</w:t>
      </w:r>
      <w:r>
        <w:rPr>
          <w:highlight w:val="none"/>
        </w:rPr>
        <w:t>在该地上开发了</w:t>
      </w:r>
      <w:r>
        <w:rPr>
          <w:rFonts w:hint="eastAsia"/>
          <w:highlight w:val="none"/>
          <w:lang w:eastAsia="zh-CN"/>
        </w:rPr>
        <w:t>“梧桐·凤凰城”项目</w:t>
      </w:r>
      <w:r>
        <w:rPr>
          <w:highlight w:val="none"/>
        </w:rPr>
        <w:t>。</w:t>
      </w:r>
      <w:r>
        <w:rPr>
          <w:rFonts w:hint="eastAsia"/>
          <w:highlight w:val="none"/>
        </w:rPr>
        <w:t>该项目用地面积为</w:t>
      </w:r>
      <w:r>
        <w:rPr>
          <w:rFonts w:hint="eastAsia"/>
          <w:highlight w:val="none"/>
          <w:lang w:val="en-US" w:eastAsia="zh-CN"/>
        </w:rPr>
        <w:t>46,266.91</w:t>
      </w:r>
      <w:r>
        <w:rPr>
          <w:rFonts w:hint="eastAsia"/>
          <w:highlight w:val="none"/>
        </w:rPr>
        <w:t>㎡，总建筑面积为</w:t>
      </w:r>
      <w:r>
        <w:rPr>
          <w:rFonts w:hint="eastAsia"/>
          <w:highlight w:val="none"/>
          <w:lang w:val="en-US" w:eastAsia="zh-CN"/>
        </w:rPr>
        <w:t>514,981.39</w:t>
      </w:r>
      <w:r>
        <w:rPr>
          <w:rFonts w:hint="eastAsia"/>
          <w:highlight w:val="none"/>
        </w:rPr>
        <w:t>㎡，住宅面积为</w:t>
      </w:r>
      <w:r>
        <w:rPr>
          <w:rFonts w:hint="eastAsia"/>
          <w:highlight w:val="none"/>
          <w:lang w:val="en-US" w:eastAsia="zh-CN"/>
        </w:rPr>
        <w:t>256,284.06</w:t>
      </w:r>
      <w:r>
        <w:rPr>
          <w:rFonts w:hint="eastAsia"/>
          <w:highlight w:val="none"/>
        </w:rPr>
        <w:t>平方米，商业建筑面积为</w:t>
      </w:r>
      <w:r>
        <w:rPr>
          <w:rFonts w:hint="eastAsia"/>
          <w:highlight w:val="none"/>
          <w:lang w:val="en-US" w:eastAsia="zh-CN"/>
        </w:rPr>
        <w:t>110,532.64㎡</w:t>
      </w:r>
      <w:r>
        <w:rPr>
          <w:rFonts w:hint="eastAsia"/>
          <w:highlight w:val="none"/>
        </w:rPr>
        <w:t>，地下室建筑面积为</w:t>
      </w:r>
      <w:r>
        <w:rPr>
          <w:rFonts w:hint="eastAsia"/>
          <w:highlight w:val="none"/>
          <w:lang w:val="en-US" w:eastAsia="zh-CN"/>
        </w:rPr>
        <w:t>143,573.61㎡</w:t>
      </w:r>
      <w:r>
        <w:rPr>
          <w:rFonts w:hint="eastAsia"/>
          <w:highlight w:val="none"/>
        </w:rPr>
        <w:t>。建设住房</w:t>
      </w:r>
      <w:r>
        <w:rPr>
          <w:rFonts w:hint="eastAsia"/>
          <w:highlight w:val="none"/>
          <w:lang w:val="en-US" w:eastAsia="zh-CN"/>
        </w:rPr>
        <w:t>1,952</w:t>
      </w:r>
      <w:r>
        <w:rPr>
          <w:rFonts w:hint="eastAsia"/>
          <w:highlight w:val="none"/>
        </w:rPr>
        <w:t>户（套），地下停车位</w:t>
      </w:r>
      <w:r>
        <w:rPr>
          <w:rFonts w:hint="eastAsia"/>
          <w:highlight w:val="none"/>
          <w:lang w:val="en-US" w:eastAsia="zh-CN"/>
        </w:rPr>
        <w:t>3,793</w:t>
      </w:r>
      <w:r>
        <w:rPr>
          <w:rFonts w:hint="eastAsia"/>
          <w:highlight w:val="none"/>
        </w:rPr>
        <w:t>个。该项目已取得施工许可，</w:t>
      </w:r>
      <w:r>
        <w:rPr>
          <w:rFonts w:hint="eastAsia"/>
          <w:highlight w:val="none"/>
          <w:lang w:val="en-US" w:eastAsia="zh-CN"/>
        </w:rPr>
        <w:t>大部分</w:t>
      </w:r>
      <w:r>
        <w:rPr>
          <w:rFonts w:hint="eastAsia"/>
          <w:highlight w:val="none"/>
        </w:rPr>
        <w:t>建筑主体建设已经完工。在建工程部分主要为住宅面积约95,558.00㎡、商业面积22,387.89㎡。</w:t>
      </w:r>
      <w:r>
        <w:rPr>
          <w:rFonts w:hint="eastAsia"/>
          <w:highlight w:val="none"/>
          <w:lang w:val="en-US" w:eastAsia="zh-CN"/>
        </w:rPr>
        <w:t>就梧桐房开项目核心资产具体情况，有报名意向的投资人可以联系临时管理人获取进一步信息。</w:t>
      </w:r>
    </w:p>
    <w:p w14:paraId="48AB1DE2">
      <w:pPr>
        <w:pStyle w:val="12"/>
        <w:ind w:left="0" w:leftChars="0" w:firstLine="480" w:firstLineChars="200"/>
        <w:rPr>
          <w:rFonts w:hint="eastAsia" w:ascii="方正楷体_GB2312" w:hAnsi="方正楷体_GB2312" w:eastAsia="方正楷体_GB2312" w:cs="方正楷体_GB2312"/>
        </w:rPr>
      </w:pPr>
      <w:r>
        <w:rPr>
          <w:rFonts w:hint="eastAsia" w:ascii="方正楷体_GB2312" w:hAnsi="方正楷体_GB2312" w:eastAsia="方正楷体_GB2312" w:cs="方正楷体_GB2312"/>
        </w:rPr>
        <w:t>（</w:t>
      </w:r>
      <w:r>
        <w:rPr>
          <w:rFonts w:hint="eastAsia" w:ascii="方正楷体_GB2312" w:hAnsi="方正楷体_GB2312" w:eastAsia="方正楷体_GB2312" w:cs="方正楷体_GB2312"/>
          <w:lang w:val="en-US" w:eastAsia="zh-CN"/>
        </w:rPr>
        <w:t>三</w:t>
      </w:r>
      <w:r>
        <w:rPr>
          <w:rFonts w:hint="eastAsia" w:ascii="方正楷体_GB2312" w:hAnsi="方正楷体_GB2312" w:eastAsia="方正楷体_GB2312" w:cs="方正楷体_GB2312"/>
        </w:rPr>
        <w:t>）负债情况</w:t>
      </w:r>
    </w:p>
    <w:p w14:paraId="4047BC97">
      <w:pPr>
        <w:pStyle w:val="12"/>
        <w:ind w:left="0" w:leftChars="0" w:firstLine="480" w:firstLineChars="200"/>
        <w:rPr>
          <w:rFonts w:hint="eastAsia"/>
          <w:lang w:eastAsia="zh-CN"/>
        </w:rPr>
      </w:pPr>
      <w:r>
        <w:t>根据</w:t>
      </w:r>
      <w:r>
        <w:rPr>
          <w:rFonts w:hint="eastAsia"/>
          <w:lang w:eastAsia="zh-CN"/>
        </w:rPr>
        <w:t>梧桐房开</w:t>
      </w:r>
      <w:r>
        <w:t>此前提交的</w:t>
      </w:r>
      <w:r>
        <w:rPr>
          <w:rFonts w:hint="eastAsia"/>
        </w:rPr>
        <w:t>《资产负债表》</w:t>
      </w:r>
      <w:r>
        <w:rPr>
          <w:rFonts w:hint="eastAsia"/>
          <w:lang w:val="en-US" w:eastAsia="zh-CN"/>
        </w:rPr>
        <w:t>显示</w:t>
      </w:r>
      <w:r>
        <w:t>，</w:t>
      </w:r>
      <w:r>
        <w:rPr>
          <w:rFonts w:hint="eastAsia"/>
          <w:lang w:eastAsia="zh-CN"/>
        </w:rPr>
        <w:t>梧桐房开公司负债总额为1,565,516,114.60元，所有者权益为-474,155,987.72元。</w:t>
      </w:r>
    </w:p>
    <w:p w14:paraId="34B28151">
      <w:pPr>
        <w:pStyle w:val="12"/>
        <w:ind w:left="0" w:leftChars="0" w:firstLine="480" w:firstLineChars="200"/>
        <w:rPr>
          <w:rFonts w:hint="eastAsia" w:ascii="黑体" w:hAnsi="黑体" w:eastAsia="黑体" w:cs="黑体"/>
        </w:rPr>
      </w:pPr>
      <w:r>
        <w:rPr>
          <w:rFonts w:hint="eastAsia" w:ascii="黑体" w:hAnsi="黑体" w:eastAsia="黑体" w:cs="黑体"/>
        </w:rPr>
        <w:t>二、招募须知</w:t>
      </w:r>
    </w:p>
    <w:p w14:paraId="2CF898C7">
      <w:pPr>
        <w:pStyle w:val="12"/>
        <w:ind w:left="0" w:leftChars="0" w:firstLine="480" w:firstLineChars="200"/>
      </w:pPr>
      <w:r>
        <w:t>（一）为公开、公平、公正地引入重整投资人，本次招募重整投资人以公开的方式进行，接受社会各方的监督；</w:t>
      </w:r>
    </w:p>
    <w:p w14:paraId="6F1400B7">
      <w:pPr>
        <w:pStyle w:val="12"/>
        <w:ind w:left="0" w:leftChars="0" w:firstLine="480" w:firstLineChars="200"/>
      </w:pPr>
      <w:r>
        <w:t>（二）本招募公告不适用《</w:t>
      </w:r>
      <w:r>
        <w:rPr>
          <w:rFonts w:hint="eastAsia"/>
          <w:lang w:eastAsia="zh-CN"/>
        </w:rPr>
        <w:t>中华人民共和国招标投标法</w:t>
      </w:r>
      <w:r>
        <w:t>》。本招募公告并非要约文件，不具有重整投资协议的约束效力，仅作为参考资料使用；</w:t>
      </w:r>
    </w:p>
    <w:p w14:paraId="60E3BC9A">
      <w:pPr>
        <w:pStyle w:val="12"/>
        <w:ind w:left="0" w:leftChars="0" w:firstLine="480" w:firstLineChars="200"/>
      </w:pPr>
      <w:r>
        <w:t>（三）意向投资人应谨慎、细致阅读本招募公告，严格按照本招募公告规定的原则、条件、规则、流程等履行报名及其他手续；</w:t>
      </w:r>
    </w:p>
    <w:p w14:paraId="1E0E11C1">
      <w:pPr>
        <w:pStyle w:val="12"/>
        <w:ind w:left="0" w:leftChars="0" w:firstLine="480" w:firstLineChars="200"/>
      </w:pPr>
      <w:r>
        <w:t>（四）意向投资人向临时管理人缴纳意向保证金并提交重整计划草案的，视为同意按</w:t>
      </w:r>
      <w:r>
        <w:rPr>
          <w:rFonts w:hint="eastAsia"/>
          <w:lang w:eastAsia="zh-CN"/>
        </w:rPr>
        <w:t>梧桐房开</w:t>
      </w:r>
      <w:r>
        <w:t>现状进行投资，投资风险自行承担；</w:t>
      </w:r>
    </w:p>
    <w:p w14:paraId="0964823F">
      <w:pPr>
        <w:pStyle w:val="12"/>
        <w:ind w:left="0" w:leftChars="0" w:firstLine="480" w:firstLineChars="200"/>
      </w:pPr>
      <w:r>
        <w:t>（五）本招募公告系根据</w:t>
      </w:r>
      <w:r>
        <w:rPr>
          <w:rFonts w:hint="eastAsia"/>
          <w:lang w:eastAsia="zh-CN"/>
        </w:rPr>
        <w:t>梧桐房开</w:t>
      </w:r>
      <w:r>
        <w:t>现有材料所做的综合性、概括性陈述，不代表临时管理人的确认或承诺，也不能代替意向投资人的尽职调查。意向投资人在参与</w:t>
      </w:r>
      <w:r>
        <w:rPr>
          <w:rFonts w:hint="eastAsia"/>
          <w:lang w:eastAsia="zh-CN"/>
        </w:rPr>
        <w:t>梧桐房开</w:t>
      </w:r>
      <w:r>
        <w:t>重整时，除参考本公告外，需要自行聘请专业人员进行尽职调查；</w:t>
      </w:r>
    </w:p>
    <w:p w14:paraId="262E3361">
      <w:pPr>
        <w:pStyle w:val="12"/>
        <w:ind w:left="0" w:leftChars="0" w:firstLine="480" w:firstLineChars="200"/>
      </w:pPr>
      <w:r>
        <w:t>（六）本招募公告由</w:t>
      </w:r>
      <w:r>
        <w:rPr>
          <w:rFonts w:hint="eastAsia"/>
          <w:lang w:eastAsia="zh-CN"/>
        </w:rPr>
        <w:t>梧桐房开</w:t>
      </w:r>
      <w:r>
        <w:t>临时管理人编制，解释权属于临时管理人，本公告未尽事宜，以临时管理人的有关补充通知为准。临时管理人有权决定继续、中止或终止预重整投资人招募。</w:t>
      </w:r>
    </w:p>
    <w:p w14:paraId="183069F5">
      <w:pPr>
        <w:pStyle w:val="12"/>
        <w:ind w:left="0" w:leftChars="0" w:firstLine="480" w:firstLineChars="200"/>
        <w:rPr>
          <w:rFonts w:hint="eastAsia" w:ascii="黑体" w:hAnsi="黑体" w:eastAsia="黑体" w:cs="黑体"/>
        </w:rPr>
      </w:pPr>
      <w:r>
        <w:rPr>
          <w:rFonts w:hint="eastAsia" w:ascii="黑体" w:hAnsi="黑体" w:eastAsia="黑体" w:cs="黑体"/>
        </w:rPr>
        <w:t>三、投资人的刚性条件</w:t>
      </w:r>
    </w:p>
    <w:p w14:paraId="5C600663">
      <w:pPr>
        <w:pStyle w:val="12"/>
        <w:ind w:left="0" w:leftChars="0" w:firstLine="480" w:firstLineChars="200"/>
        <w:rPr>
          <w:rFonts w:hint="eastAsia"/>
        </w:rPr>
      </w:pPr>
      <w:r>
        <w:t>（一）意向投资人应是中华人民共和国境内依法设立并有效存续</w:t>
      </w:r>
      <w:r>
        <w:rPr>
          <w:rFonts w:hint="eastAsia"/>
        </w:rPr>
        <w:t>具有独立法人资格的企业</w:t>
      </w:r>
      <w:r>
        <w:rPr>
          <w:rFonts w:hint="eastAsia"/>
          <w:lang w:eastAsia="zh-CN"/>
        </w:rPr>
        <w:t>，</w:t>
      </w:r>
      <w:r>
        <w:rPr>
          <w:rFonts w:hint="eastAsia"/>
          <w:lang w:val="en-US" w:eastAsia="zh-CN"/>
        </w:rPr>
        <w:t>企业</w:t>
      </w:r>
      <w:r>
        <w:rPr>
          <w:rFonts w:hint="eastAsia"/>
        </w:rPr>
        <w:t>应具备完整的组织结构及企业管理体系，且注册资本不低于</w:t>
      </w:r>
      <w:r>
        <w:rPr>
          <w:rFonts w:hint="eastAsia"/>
          <w:lang w:val="en-US" w:eastAsia="zh-CN"/>
        </w:rPr>
        <w:t>4</w:t>
      </w:r>
      <w:r>
        <w:rPr>
          <w:rFonts w:hint="eastAsia"/>
        </w:rPr>
        <w:t>000万元；</w:t>
      </w:r>
    </w:p>
    <w:p w14:paraId="1D20C3B7">
      <w:pPr>
        <w:pStyle w:val="12"/>
        <w:ind w:left="0" w:leftChars="0" w:firstLine="480" w:firstLineChars="200"/>
      </w:pPr>
      <w:r>
        <w:t>（二）意向投资人应稳健经营、财务状况良好、具有足够的资金实力，能在合理时间内完成建设项目、支付清偿资金；</w:t>
      </w:r>
    </w:p>
    <w:p w14:paraId="33A4AEE9">
      <w:pPr>
        <w:pStyle w:val="12"/>
        <w:ind w:left="0" w:leftChars="0" w:firstLine="480" w:firstLineChars="200"/>
      </w:pPr>
      <w:r>
        <w:t>（三）意向投资人应拥有与投资目标公司经营规模相适应的经营管理能力；</w:t>
      </w:r>
    </w:p>
    <w:p w14:paraId="6EEC3645">
      <w:pPr>
        <w:pStyle w:val="12"/>
        <w:ind w:left="0" w:leftChars="0" w:firstLine="480" w:firstLineChars="200"/>
      </w:pPr>
      <w:r>
        <w:t>（四）意向投资人无重大违法行为或者涉嫌有重大违法犯罪行为；</w:t>
      </w:r>
    </w:p>
    <w:p w14:paraId="0384A5CA">
      <w:pPr>
        <w:pStyle w:val="12"/>
        <w:ind w:left="0" w:leftChars="0" w:firstLine="480" w:firstLineChars="200"/>
      </w:pPr>
      <w:r>
        <w:t>（五）意向投资人不存在作为被告的在诉案件、被执行和失信被执行案件；</w:t>
      </w:r>
    </w:p>
    <w:p w14:paraId="51F64E68">
      <w:pPr>
        <w:pStyle w:val="12"/>
        <w:ind w:left="0" w:leftChars="0" w:firstLine="480" w:firstLineChars="200"/>
      </w:pPr>
      <w:r>
        <w:t>（六）意向投资人的投资报价及保证金缴纳，不得低于</w:t>
      </w:r>
      <w:r>
        <w:rPr>
          <w:rFonts w:hint="eastAsia"/>
          <w:lang w:val="en-US" w:eastAsia="zh-CN"/>
        </w:rPr>
        <w:t>现有意向投资人</w:t>
      </w:r>
      <w:r>
        <w:t>的标准</w:t>
      </w:r>
      <w:r>
        <w:rPr>
          <w:rFonts w:hint="eastAsia"/>
          <w:lang w:eastAsia="zh-CN"/>
        </w:rPr>
        <w:t>（“</w:t>
      </w:r>
      <w:r>
        <w:rPr>
          <w:rFonts w:hint="eastAsia"/>
          <w:lang w:val="en-US" w:eastAsia="zh-CN"/>
        </w:rPr>
        <w:t>基准投资条件”）</w:t>
      </w:r>
      <w:r>
        <w:rPr>
          <w:rFonts w:hint="eastAsia"/>
          <w:lang w:eastAsia="zh-CN"/>
        </w:rPr>
        <w:t>，</w:t>
      </w:r>
      <w:r>
        <w:t>具体如下：</w:t>
      </w:r>
    </w:p>
    <w:p w14:paraId="35598BE6">
      <w:pPr>
        <w:pStyle w:val="12"/>
        <w:ind w:left="0" w:leftChars="0" w:firstLine="480" w:firstLineChars="200"/>
      </w:pPr>
      <w:r>
        <w:t>1</w:t>
      </w:r>
      <w:r>
        <w:rPr>
          <w:rFonts w:hint="eastAsia"/>
          <w:lang w:val="en-US" w:eastAsia="zh-CN"/>
        </w:rPr>
        <w:t>.</w:t>
      </w:r>
      <w:r>
        <w:t>缴纳的意向保证金不得低于</w:t>
      </w:r>
      <w:r>
        <w:rPr>
          <w:rFonts w:hint="eastAsia"/>
          <w:lang w:val="en-US" w:eastAsia="zh-CN"/>
        </w:rPr>
        <w:t>1000万元</w:t>
      </w:r>
      <w:r>
        <w:t>；</w:t>
      </w:r>
    </w:p>
    <w:p w14:paraId="5C3EFBE9">
      <w:pPr>
        <w:pStyle w:val="12"/>
        <w:ind w:left="0" w:leftChars="0" w:firstLine="480" w:firstLineChars="200"/>
        <w:rPr>
          <w:highlight w:val="none"/>
        </w:rPr>
      </w:pPr>
      <w:r>
        <w:rPr>
          <w:highlight w:val="none"/>
        </w:rPr>
        <w:t>2</w:t>
      </w:r>
      <w:r>
        <w:rPr>
          <w:rFonts w:hint="eastAsia"/>
          <w:highlight w:val="none"/>
          <w:lang w:val="en-US" w:eastAsia="zh-CN"/>
        </w:rPr>
        <w:t>.意</w:t>
      </w:r>
      <w:r>
        <w:rPr>
          <w:rFonts w:hint="eastAsia"/>
          <w:color w:val="auto"/>
          <w:highlight w:val="none"/>
          <w:lang w:val="en-US" w:eastAsia="zh-CN"/>
        </w:rPr>
        <w:t>向投资人需</w:t>
      </w:r>
      <w:r>
        <w:rPr>
          <w:color w:val="auto"/>
          <w:highlight w:val="none"/>
        </w:rPr>
        <w:t>承诺</w:t>
      </w:r>
      <w:r>
        <w:rPr>
          <w:rFonts w:hint="eastAsia"/>
          <w:color w:val="auto"/>
          <w:highlight w:val="none"/>
          <w:lang w:eastAsia="zh-CN"/>
        </w:rPr>
        <w:t>，</w:t>
      </w:r>
      <w:r>
        <w:rPr>
          <w:rFonts w:hint="eastAsia"/>
          <w:color w:val="auto"/>
          <w:highlight w:val="none"/>
          <w:lang w:val="en-US" w:eastAsia="zh-CN"/>
        </w:rPr>
        <w:t>首期投资金额不低于4000万元。即：待债务人正式进入破产重整程序且重整计划经人民法院裁定通过后7日内另行汇入3000万元资金至管理人专用账户。该4000万元首期投资资金（含1000万元意向保证金）全部用于涉及保交楼的261套保交楼任务（暨9栋、10栋、18栋、19栋）所属楼栋的收尾工程建设，或在重整计划安排</w:t>
      </w:r>
      <w:r>
        <w:rPr>
          <w:rFonts w:hint="eastAsia"/>
          <w:highlight w:val="none"/>
          <w:lang w:val="en-US" w:eastAsia="zh-CN"/>
        </w:rPr>
        <w:t>下用于退还上述保交楼业主的部分购房款。</w:t>
      </w:r>
      <w:r>
        <w:rPr>
          <w:highlight w:val="none"/>
        </w:rPr>
        <w:t>最低投资</w:t>
      </w:r>
      <w:r>
        <w:rPr>
          <w:rFonts w:hint="eastAsia"/>
          <w:highlight w:val="none"/>
          <w:lang w:val="en-US" w:eastAsia="zh-CN"/>
        </w:rPr>
        <w:t>总</w:t>
      </w:r>
      <w:r>
        <w:rPr>
          <w:highlight w:val="none"/>
        </w:rPr>
        <w:t>金额不得低于</w:t>
      </w:r>
      <w:r>
        <w:rPr>
          <w:rFonts w:hint="eastAsia"/>
          <w:highlight w:val="none"/>
          <w:lang w:val="en-US" w:eastAsia="zh-CN"/>
        </w:rPr>
        <w:t>1.2亿</w:t>
      </w:r>
      <w:r>
        <w:rPr>
          <w:highlight w:val="none"/>
        </w:rPr>
        <w:t>元人民币（含</w:t>
      </w:r>
      <w:r>
        <w:rPr>
          <w:rFonts w:hint="eastAsia"/>
          <w:highlight w:val="none"/>
          <w:lang w:val="en-US" w:eastAsia="zh-CN"/>
        </w:rPr>
        <w:t>首期投资资</w:t>
      </w:r>
      <w:r>
        <w:rPr>
          <w:highlight w:val="none"/>
        </w:rPr>
        <w:t>金）；</w:t>
      </w:r>
    </w:p>
    <w:p w14:paraId="1C5777B6">
      <w:pPr>
        <w:pStyle w:val="12"/>
        <w:ind w:left="0" w:leftChars="0" w:firstLine="480" w:firstLineChars="200"/>
        <w:rPr>
          <w:color w:val="auto"/>
          <w:highlight w:val="none"/>
        </w:rPr>
      </w:pPr>
      <w:r>
        <w:rPr>
          <w:color w:val="auto"/>
          <w:highlight w:val="none"/>
        </w:rPr>
        <w:t>3</w:t>
      </w:r>
      <w:r>
        <w:rPr>
          <w:rFonts w:hint="eastAsia"/>
          <w:color w:val="auto"/>
          <w:highlight w:val="none"/>
          <w:lang w:val="en-US" w:eastAsia="zh-CN"/>
        </w:rPr>
        <w:t>.如投资方式为非权益性投资的，投资款的</w:t>
      </w:r>
      <w:r>
        <w:rPr>
          <w:rFonts w:hint="eastAsia"/>
          <w:color w:val="auto"/>
          <w:highlight w:val="none"/>
        </w:rPr>
        <w:t>年化资金</w:t>
      </w:r>
      <w:r>
        <w:rPr>
          <w:rFonts w:hint="eastAsia"/>
          <w:color w:val="auto"/>
          <w:highlight w:val="none"/>
          <w:lang w:val="en-US" w:eastAsia="zh-CN"/>
        </w:rPr>
        <w:t>回报要求不超过</w:t>
      </w:r>
      <w:r>
        <w:rPr>
          <w:rFonts w:hint="eastAsia"/>
          <w:color w:val="auto"/>
          <w:highlight w:val="none"/>
        </w:rPr>
        <w:t>8%/年</w:t>
      </w:r>
      <w:r>
        <w:rPr>
          <w:color w:val="auto"/>
          <w:highlight w:val="none"/>
        </w:rPr>
        <w:t>。</w:t>
      </w:r>
    </w:p>
    <w:p w14:paraId="0119240A">
      <w:pPr>
        <w:pStyle w:val="12"/>
        <w:ind w:left="0" w:leftChars="0" w:firstLine="480" w:firstLineChars="200"/>
        <w:rPr>
          <w:rFonts w:hint="eastAsia" w:ascii="黑体" w:hAnsi="黑体" w:eastAsia="黑体" w:cs="黑体"/>
        </w:rPr>
      </w:pPr>
      <w:r>
        <w:rPr>
          <w:rFonts w:hint="eastAsia" w:ascii="黑体" w:hAnsi="黑体" w:eastAsia="黑体" w:cs="黑体"/>
        </w:rPr>
        <w:t>四、报名需提交的材料</w:t>
      </w:r>
    </w:p>
    <w:p w14:paraId="5BB9C28A">
      <w:pPr>
        <w:pStyle w:val="12"/>
        <w:ind w:left="0" w:leftChars="0" w:firstLine="480" w:firstLineChars="200"/>
        <w:rPr>
          <w:rFonts w:hint="eastAsia"/>
        </w:rPr>
      </w:pPr>
      <w:r>
        <w:t>（一）</w:t>
      </w:r>
      <w:r>
        <w:rPr>
          <w:rFonts w:hint="eastAsia"/>
        </w:rPr>
        <w:t>提供公司营业执照复印件、法定代表人</w:t>
      </w:r>
      <w:r>
        <w:rPr>
          <w:rFonts w:hint="eastAsia"/>
          <w:lang w:val="en-US" w:eastAsia="zh-CN"/>
        </w:rPr>
        <w:t>或负责人</w:t>
      </w:r>
      <w:r>
        <w:rPr>
          <w:rFonts w:hint="eastAsia"/>
        </w:rPr>
        <w:t>身份证明书原件、法定代表人或负责人身份证复印件；委托代理人办理报名和投资事务的，须提交《授权委托书》，载明代理人姓名、联系方式、职务、授权范围并附代理人身份证复印件；</w:t>
      </w:r>
    </w:p>
    <w:p w14:paraId="14EB3CA4">
      <w:pPr>
        <w:pStyle w:val="12"/>
        <w:ind w:left="0" w:leftChars="0" w:firstLine="480" w:firstLineChars="200"/>
        <w:rPr>
          <w:rFonts w:hint="eastAsia"/>
        </w:rPr>
      </w:pPr>
      <w:r>
        <w:rPr>
          <w:rFonts w:hint="eastAsia"/>
        </w:rPr>
        <w:t>（</w:t>
      </w:r>
      <w:r>
        <w:rPr>
          <w:rFonts w:hint="eastAsia"/>
          <w:lang w:val="en-US" w:eastAsia="zh-CN"/>
        </w:rPr>
        <w:t>二</w:t>
      </w:r>
      <w:r>
        <w:rPr>
          <w:rFonts w:hint="eastAsia"/>
        </w:rPr>
        <w:t>）意向投资人基本情况介绍</w:t>
      </w:r>
      <w:r>
        <w:rPr>
          <w:rFonts w:hint="eastAsia"/>
          <w:lang w:eastAsia="zh-CN"/>
        </w:rPr>
        <w:t>（</w:t>
      </w:r>
      <w:r>
        <w:rPr>
          <w:rFonts w:hint="eastAsia"/>
        </w:rPr>
        <w:t>含主体资格、股权结构、主营业务、资产状况、负债等信息，如有相关项目经验的，可进行说明</w:t>
      </w:r>
      <w:r>
        <w:rPr>
          <w:rFonts w:hint="eastAsia"/>
          <w:lang w:eastAsia="zh-CN"/>
        </w:rPr>
        <w:t>）</w:t>
      </w:r>
      <w:r>
        <w:rPr>
          <w:rFonts w:hint="eastAsia"/>
        </w:rPr>
        <w:t>；</w:t>
      </w:r>
    </w:p>
    <w:p w14:paraId="252B292E">
      <w:pPr>
        <w:pStyle w:val="12"/>
        <w:ind w:left="0" w:leftChars="0" w:firstLine="480" w:firstLineChars="200"/>
        <w:rPr>
          <w:rFonts w:hint="eastAsia"/>
        </w:rPr>
      </w:pPr>
      <w:r>
        <w:rPr>
          <w:rFonts w:hint="eastAsia"/>
        </w:rPr>
        <w:t>（</w:t>
      </w:r>
      <w:r>
        <w:rPr>
          <w:rFonts w:hint="eastAsia"/>
          <w:lang w:val="en-US" w:eastAsia="zh-CN"/>
        </w:rPr>
        <w:t>三</w:t>
      </w:r>
      <w:r>
        <w:rPr>
          <w:rFonts w:hint="eastAsia"/>
        </w:rPr>
        <w:t>）《投资意向书》（明确作出报名参与</w:t>
      </w:r>
      <w:r>
        <w:rPr>
          <w:rFonts w:hint="eastAsia"/>
          <w:lang w:val="en-US" w:eastAsia="zh-CN"/>
        </w:rPr>
        <w:t>梧桐</w:t>
      </w:r>
      <w:r>
        <w:rPr>
          <w:rFonts w:hint="eastAsia"/>
        </w:rPr>
        <w:t>房开重整意向投资人招募的意思表示）及股东会或董事会同意参加投资报名的决议文件</w:t>
      </w:r>
      <w:r>
        <w:rPr>
          <w:rFonts w:hint="eastAsia"/>
          <w:lang w:eastAsia="zh-CN"/>
        </w:rPr>
        <w:t>，</w:t>
      </w:r>
      <w:r>
        <w:rPr>
          <w:rFonts w:hint="eastAsia"/>
          <w:lang w:val="en-US" w:eastAsia="zh-CN"/>
        </w:rPr>
        <w:t>意向书中应当明确最终提交的投资方案中投资条件将不低于本公告明示的基准条件</w:t>
      </w:r>
      <w:r>
        <w:rPr>
          <w:rFonts w:hint="eastAsia"/>
        </w:rPr>
        <w:t>；</w:t>
      </w:r>
    </w:p>
    <w:p w14:paraId="1EDE2B1A">
      <w:pPr>
        <w:pStyle w:val="12"/>
        <w:ind w:left="0" w:leftChars="0" w:firstLine="480" w:firstLineChars="200"/>
        <w:rPr>
          <w:rFonts w:hint="eastAsia"/>
        </w:rPr>
      </w:pPr>
      <w:r>
        <w:rPr>
          <w:rFonts w:hint="eastAsia"/>
        </w:rPr>
        <w:t>（</w:t>
      </w:r>
      <w:r>
        <w:rPr>
          <w:rFonts w:hint="eastAsia"/>
          <w:lang w:val="en-US" w:eastAsia="zh-CN"/>
        </w:rPr>
        <w:t>四</w:t>
      </w:r>
      <w:r>
        <w:rPr>
          <w:rFonts w:hint="eastAsia"/>
        </w:rPr>
        <w:t>）意向投资人出具未被人民法院列入失信被执行人名单、不属于失信惩戒对象的《承诺函》；</w:t>
      </w:r>
    </w:p>
    <w:p w14:paraId="312510CF">
      <w:pPr>
        <w:pStyle w:val="12"/>
        <w:ind w:left="0" w:leftChars="0" w:firstLine="480" w:firstLineChars="200"/>
        <w:rPr>
          <w:rFonts w:hint="eastAsia"/>
        </w:rPr>
      </w:pPr>
      <w:r>
        <w:rPr>
          <w:rFonts w:hint="eastAsia"/>
        </w:rPr>
        <w:t>（</w:t>
      </w:r>
      <w:r>
        <w:rPr>
          <w:rFonts w:hint="eastAsia"/>
          <w:lang w:val="en-US" w:eastAsia="zh-CN"/>
        </w:rPr>
        <w:t>五</w:t>
      </w:r>
      <w:r>
        <w:rPr>
          <w:rFonts w:hint="eastAsia"/>
        </w:rPr>
        <w:t>）载明联系人、联系电话、电子邮箱、通信地址的法律文件送达地址确认书；</w:t>
      </w:r>
    </w:p>
    <w:p w14:paraId="6D1C1F99">
      <w:pPr>
        <w:pStyle w:val="12"/>
        <w:ind w:left="0" w:leftChars="0" w:firstLine="480" w:firstLineChars="200"/>
        <w:rPr>
          <w:rFonts w:hint="eastAsia"/>
        </w:rPr>
      </w:pPr>
      <w:r>
        <w:rPr>
          <w:rFonts w:hint="eastAsia"/>
        </w:rPr>
        <w:t>（</w:t>
      </w:r>
      <w:r>
        <w:rPr>
          <w:rFonts w:hint="eastAsia"/>
          <w:lang w:val="en-US" w:eastAsia="zh-CN"/>
        </w:rPr>
        <w:t>六</w:t>
      </w:r>
      <w:r>
        <w:rPr>
          <w:rFonts w:hint="eastAsia"/>
        </w:rPr>
        <w:t>）联合体报名须提交联合报名合作协议书，并分别按要求同时提交上述资料。</w:t>
      </w:r>
    </w:p>
    <w:p w14:paraId="2E3A18BD">
      <w:pPr>
        <w:pStyle w:val="12"/>
        <w:ind w:left="0" w:leftChars="0" w:firstLine="480" w:firstLineChars="200"/>
      </w:pPr>
      <w:r>
        <w:t>（七）临时管理人认为需要补充提交的其他材料。</w:t>
      </w:r>
    </w:p>
    <w:p w14:paraId="777A0C45">
      <w:pPr>
        <w:pStyle w:val="12"/>
        <w:ind w:left="0" w:leftChars="0" w:firstLine="480" w:firstLineChars="200"/>
      </w:pPr>
      <w:r>
        <w:t>特别提示：</w:t>
      </w:r>
      <w:r>
        <w:rPr>
          <w:rFonts w:hint="eastAsia"/>
          <w:lang w:val="en-US" w:eastAsia="zh-CN"/>
        </w:rPr>
        <w:t>1.意向投资人应当在报名时间届满前提交上述报名材料，</w:t>
      </w:r>
      <w:r>
        <w:t>以上材料皆需加盖意向投资人公章</w:t>
      </w:r>
      <w:r>
        <w:rPr>
          <w:rFonts w:hint="eastAsia"/>
        </w:rPr>
        <w:t>并由其法定代表人或负责人签字</w:t>
      </w:r>
      <w:r>
        <w:t>；</w:t>
      </w:r>
      <w:r>
        <w:rPr>
          <w:rFonts w:hint="eastAsia"/>
          <w:lang w:val="en-US" w:eastAsia="zh-CN"/>
        </w:rPr>
        <w:t>2.</w:t>
      </w:r>
      <w:r>
        <w:t>报名材料需制定目录和页码，</w:t>
      </w:r>
      <w:r>
        <w:rPr>
          <w:rFonts w:hint="eastAsia"/>
          <w:lang w:val="en-US" w:eastAsia="zh-CN"/>
        </w:rPr>
        <w:t>按</w:t>
      </w:r>
      <w:r>
        <w:rPr>
          <w:rFonts w:hint="eastAsia"/>
        </w:rPr>
        <w:t>本公告规定的</w:t>
      </w:r>
      <w:r>
        <w:rPr>
          <w:rFonts w:hint="eastAsia"/>
          <w:lang w:val="en-US" w:eastAsia="zh-CN"/>
        </w:rPr>
        <w:t>要求及</w:t>
      </w:r>
      <w:r>
        <w:rPr>
          <w:rFonts w:hint="eastAsia"/>
        </w:rPr>
        <w:t>条件</w:t>
      </w:r>
      <w:r>
        <w:rPr>
          <w:rFonts w:hint="eastAsia"/>
          <w:lang w:val="en-US" w:eastAsia="zh-CN"/>
        </w:rPr>
        <w:t>提供的</w:t>
      </w:r>
      <w:r>
        <w:rPr>
          <w:rFonts w:hint="eastAsia"/>
        </w:rPr>
        <w:t>相关证明材料应当作为报名材料附件，</w:t>
      </w:r>
      <w:r>
        <w:rPr>
          <w:rFonts w:hint="eastAsia"/>
          <w:lang w:val="en-US" w:eastAsia="zh-CN"/>
        </w:rPr>
        <w:t>依</w:t>
      </w:r>
      <w:r>
        <w:t>顺序</w:t>
      </w:r>
      <w:r>
        <w:rPr>
          <w:rFonts w:hint="eastAsia"/>
        </w:rPr>
        <w:t>以A4纸打印装订成册并密封</w:t>
      </w:r>
      <w:r>
        <w:t>（内附电子光盘）</w:t>
      </w:r>
      <w:r>
        <w:rPr>
          <w:rFonts w:hint="eastAsia"/>
        </w:rPr>
        <w:t>后通过现场或邮寄方式提交给临时管理人</w:t>
      </w:r>
      <w:r>
        <w:t>。</w:t>
      </w:r>
      <w:r>
        <w:rPr>
          <w:rFonts w:hint="eastAsia"/>
          <w:lang w:val="en-US" w:eastAsia="zh-CN"/>
        </w:rPr>
        <w:t>报名材料</w:t>
      </w:r>
      <w:r>
        <w:t>应提供一式三份，不足三份按不符合资格审查处理。</w:t>
      </w:r>
    </w:p>
    <w:p w14:paraId="1F068C65">
      <w:pPr>
        <w:pStyle w:val="12"/>
        <w:ind w:left="0" w:leftChars="0" w:firstLine="480" w:firstLineChars="200"/>
        <w:rPr>
          <w:rFonts w:hint="eastAsia" w:ascii="黑体" w:hAnsi="黑体" w:eastAsia="黑体" w:cs="黑体"/>
        </w:rPr>
      </w:pPr>
      <w:r>
        <w:rPr>
          <w:rFonts w:hint="eastAsia" w:ascii="黑体" w:hAnsi="黑体" w:eastAsia="黑体" w:cs="黑体"/>
        </w:rPr>
        <w:t>五、招募流程</w:t>
      </w:r>
    </w:p>
    <w:p w14:paraId="6E29371D">
      <w:pPr>
        <w:pStyle w:val="12"/>
        <w:ind w:left="0" w:leftChars="0" w:firstLine="480" w:firstLineChars="200"/>
      </w:pPr>
      <w:r>
        <w:t>（</w:t>
      </w:r>
      <w:r>
        <w:rPr>
          <w:rFonts w:hint="eastAsia"/>
          <w:lang w:val="en-US" w:eastAsia="zh-CN"/>
        </w:rPr>
        <w:t>一</w:t>
      </w:r>
      <w:r>
        <w:t>）意向投资人应于20</w:t>
      </w:r>
      <w:r>
        <w:rPr>
          <w:rFonts w:hint="eastAsia"/>
          <w:lang w:val="en-US" w:eastAsia="zh-CN"/>
        </w:rPr>
        <w:t>26</w:t>
      </w:r>
      <w:r>
        <w:t>年</w:t>
      </w:r>
      <w:r>
        <w:rPr>
          <w:rFonts w:hint="eastAsia"/>
          <w:lang w:val="en-US" w:eastAsia="zh-CN"/>
        </w:rPr>
        <w:t>2</w:t>
      </w:r>
      <w:r>
        <w:t>月</w:t>
      </w:r>
      <w:r>
        <w:rPr>
          <w:rFonts w:hint="eastAsia"/>
          <w:lang w:val="en-US" w:eastAsia="zh-CN"/>
        </w:rPr>
        <w:t>12</w:t>
      </w:r>
      <w:r>
        <w:t>日</w:t>
      </w:r>
      <w:r>
        <w:rPr>
          <w:rFonts w:hint="eastAsia"/>
          <w:lang w:val="en-US" w:eastAsia="zh-CN"/>
        </w:rPr>
        <w:t>17:00</w:t>
      </w:r>
      <w:r>
        <w:t>时之前向临时管理人</w:t>
      </w:r>
      <w:r>
        <w:rPr>
          <w:rFonts w:hint="eastAsia"/>
        </w:rPr>
        <w:t>通过现场或邮寄方式提交</w:t>
      </w:r>
      <w:r>
        <w:t>上述报名材料</w:t>
      </w:r>
      <w:r>
        <w:rPr>
          <w:rFonts w:hint="eastAsia"/>
        </w:rPr>
        <w:t>（</w:t>
      </w:r>
      <w:r>
        <w:rPr>
          <w:rFonts w:hint="eastAsia"/>
          <w:lang w:val="en-US" w:eastAsia="zh-CN"/>
        </w:rPr>
        <w:t>提交</w:t>
      </w:r>
      <w:r>
        <w:rPr>
          <w:rFonts w:hint="eastAsia"/>
        </w:rPr>
        <w:t>地点：贵州省</w:t>
      </w:r>
      <w:r>
        <w:rPr>
          <w:rFonts w:hint="eastAsia"/>
          <w:lang w:val="en-US" w:eastAsia="zh-CN"/>
        </w:rPr>
        <w:t>毕节市大方县归化街道“梧桐·凤凰城”销售</w:t>
      </w:r>
      <w:r>
        <w:rPr>
          <w:rFonts w:hint="eastAsia"/>
        </w:rPr>
        <w:t>中心临时管理人办公室。邮寄提交的，需提前告知临时管理人，并提供在截止日前将报名资料交邮的证明材料）</w:t>
      </w:r>
      <w:r>
        <w:t>，并向临时管理人指定的账户缴纳不低于</w:t>
      </w:r>
      <w:r>
        <w:rPr>
          <w:rFonts w:hint="eastAsia"/>
          <w:lang w:val="en-US" w:eastAsia="zh-CN"/>
        </w:rPr>
        <w:t>1000</w:t>
      </w:r>
      <w:r>
        <w:t>万元的意向保证金（需提供支付凭证）；否则报名无效。</w:t>
      </w:r>
    </w:p>
    <w:p w14:paraId="44C2037E">
      <w:pPr>
        <w:pStyle w:val="12"/>
        <w:ind w:left="0" w:leftChars="0" w:firstLine="480" w:firstLineChars="200"/>
      </w:pPr>
      <w:r>
        <w:t>（</w:t>
      </w:r>
      <w:r>
        <w:rPr>
          <w:rFonts w:hint="eastAsia"/>
          <w:lang w:val="en-US" w:eastAsia="zh-CN"/>
        </w:rPr>
        <w:t>二</w:t>
      </w:r>
      <w:r>
        <w:t>）</w:t>
      </w:r>
      <w:r>
        <w:rPr>
          <w:rFonts w:hint="eastAsia"/>
        </w:rPr>
        <w:t>临时管理人收到意向投资人提交的报名材料后及时将资格审查结果反馈给报名单位。资格审查通过后即为报名成功，报名成功的意向投资人</w:t>
      </w:r>
      <w:r>
        <w:t>在与临时管理人签订《投资保密协议》后，可向临时管理人提出开展尽职调查工作的申请</w:t>
      </w:r>
      <w:r>
        <w:rPr>
          <w:rFonts w:hint="eastAsia"/>
        </w:rPr>
        <w:t>开展尽职调查</w:t>
      </w:r>
      <w:r>
        <w:rPr>
          <w:rFonts w:hint="eastAsia"/>
          <w:lang w:eastAsia="zh-CN"/>
        </w:rPr>
        <w:t>，由</w:t>
      </w:r>
      <w:r>
        <w:rPr>
          <w:rFonts w:hint="eastAsia"/>
        </w:rPr>
        <w:t>临时管理人配合提供相关资料，开展尽职调查或实地考察所需的费用由意向投资人自行承担。</w:t>
      </w:r>
      <w:r>
        <w:t>尽职调查工作应于202</w:t>
      </w:r>
      <w:r>
        <w:rPr>
          <w:rFonts w:hint="eastAsia"/>
          <w:lang w:val="en-US" w:eastAsia="zh-CN"/>
        </w:rPr>
        <w:t>6</w:t>
      </w:r>
      <w:r>
        <w:t>年</w:t>
      </w:r>
      <w:r>
        <w:rPr>
          <w:rFonts w:hint="eastAsia"/>
          <w:lang w:val="en-US" w:eastAsia="zh-CN"/>
        </w:rPr>
        <w:t>3</w:t>
      </w:r>
      <w:r>
        <w:t>月</w:t>
      </w:r>
      <w:r>
        <w:rPr>
          <w:rFonts w:hint="eastAsia"/>
          <w:lang w:val="en-US" w:eastAsia="zh-CN"/>
        </w:rPr>
        <w:t>10</w:t>
      </w:r>
      <w:r>
        <w:t>日之前完成。</w:t>
      </w:r>
    </w:p>
    <w:p w14:paraId="7868CFF8">
      <w:pPr>
        <w:pStyle w:val="12"/>
        <w:ind w:left="0" w:leftChars="0" w:firstLine="480" w:firstLineChars="200"/>
        <w:rPr>
          <w:rFonts w:hint="eastAsia"/>
        </w:rPr>
      </w:pPr>
      <w:r>
        <w:t>（</w:t>
      </w:r>
      <w:r>
        <w:rPr>
          <w:rFonts w:hint="eastAsia"/>
          <w:lang w:val="en-US" w:eastAsia="zh-CN"/>
        </w:rPr>
        <w:t>三</w:t>
      </w:r>
      <w:r>
        <w:t>）</w:t>
      </w:r>
      <w:r>
        <w:rPr>
          <w:rFonts w:hint="eastAsia"/>
        </w:rPr>
        <w:t>意向投资人</w:t>
      </w:r>
      <w:r>
        <w:rPr>
          <w:rFonts w:hint="eastAsia"/>
          <w:lang w:val="en-US" w:eastAsia="zh-CN"/>
        </w:rPr>
        <w:t>应当在</w:t>
      </w:r>
      <w:r>
        <w:rPr>
          <w:rFonts w:hint="eastAsia"/>
        </w:rPr>
        <w:t>尽职调查</w:t>
      </w:r>
      <w:r>
        <w:rPr>
          <w:rFonts w:hint="eastAsia"/>
          <w:lang w:val="en-US" w:eastAsia="zh-CN"/>
        </w:rPr>
        <w:t>截止日后5个工作日内向临时管理人</w:t>
      </w:r>
      <w:r>
        <w:rPr>
          <w:rFonts w:hint="eastAsia"/>
        </w:rPr>
        <w:t>提交</w:t>
      </w:r>
      <w:r>
        <w:t>不得变更或撤销的</w:t>
      </w:r>
      <w:r>
        <w:rPr>
          <w:rFonts w:hint="eastAsia"/>
        </w:rPr>
        <w:t>《重整投资方案》，</w:t>
      </w:r>
      <w:r>
        <w:rPr>
          <w:rFonts w:hint="eastAsia"/>
          <w:lang w:val="en-US" w:eastAsia="zh-CN"/>
        </w:rPr>
        <w:t>投资方案中投资条件不得低于本公告中明确的基准条件，</w:t>
      </w:r>
      <w:r>
        <w:rPr>
          <w:rFonts w:hint="eastAsia"/>
        </w:rPr>
        <w:t>并</w:t>
      </w:r>
      <w:r>
        <w:rPr>
          <w:rFonts w:hint="eastAsia"/>
          <w:lang w:val="en-US" w:eastAsia="zh-CN"/>
        </w:rPr>
        <w:t>应</w:t>
      </w:r>
      <w:r>
        <w:rPr>
          <w:rFonts w:hint="eastAsia"/>
        </w:rPr>
        <w:t>保证方案的真实性、准确性和完整性</w:t>
      </w:r>
      <w:r>
        <w:rPr>
          <w:rFonts w:hint="eastAsia"/>
          <w:lang w:eastAsia="zh-CN"/>
        </w:rPr>
        <w:t>，</w:t>
      </w:r>
      <w:r>
        <w:rPr>
          <w:rFonts w:hint="eastAsia"/>
          <w:lang w:val="en-US" w:eastAsia="zh-CN"/>
        </w:rPr>
        <w:t>超期未提交的，或者提交的方案中投资条件低于基准投资条件的，视为放弃参与本次投资</w:t>
      </w:r>
      <w:r>
        <w:rPr>
          <w:rFonts w:hint="eastAsia"/>
        </w:rPr>
        <w:t>。</w:t>
      </w:r>
    </w:p>
    <w:p w14:paraId="4B02E99B">
      <w:pPr>
        <w:pStyle w:val="12"/>
        <w:ind w:left="0" w:leftChars="0" w:firstLine="480" w:firstLineChars="200"/>
      </w:pPr>
      <w:r>
        <w:t>（</w:t>
      </w:r>
      <w:r>
        <w:rPr>
          <w:rFonts w:hint="eastAsia"/>
          <w:lang w:val="en-US" w:eastAsia="zh-CN"/>
        </w:rPr>
        <w:t>四</w:t>
      </w:r>
      <w:r>
        <w:t>）临时管理人</w:t>
      </w:r>
      <w:r>
        <w:rPr>
          <w:rFonts w:hint="eastAsia"/>
          <w:lang w:val="en-US" w:eastAsia="zh-CN"/>
        </w:rPr>
        <w:t>在收到各意向投资人提交的重整投资方案后将及时组织进行遴选</w:t>
      </w:r>
      <w:r>
        <w:t>，具体遴选安排将根据意向投资人的报名及报价情况另行通知；若无意向投资人报名，则</w:t>
      </w:r>
      <w:r>
        <w:rPr>
          <w:rFonts w:hint="eastAsia"/>
          <w:lang w:val="en-US" w:eastAsia="zh-CN"/>
        </w:rPr>
        <w:t>现有投资人将</w:t>
      </w:r>
      <w:r>
        <w:t>作为中选投资人。</w:t>
      </w:r>
    </w:p>
    <w:p w14:paraId="32F8A55B">
      <w:pPr>
        <w:pStyle w:val="12"/>
        <w:ind w:left="0" w:leftChars="0" w:firstLine="480" w:firstLineChars="200"/>
      </w:pPr>
      <w:r>
        <w:t>（</w:t>
      </w:r>
      <w:r>
        <w:rPr>
          <w:rFonts w:hint="eastAsia"/>
          <w:lang w:val="en-US" w:eastAsia="zh-CN"/>
        </w:rPr>
        <w:t>五</w:t>
      </w:r>
      <w:r>
        <w:t>）在</w:t>
      </w:r>
      <w:bookmarkStart w:id="0" w:name="_GoBack"/>
      <w:bookmarkEnd w:id="0"/>
      <w:r>
        <w:t>本</w:t>
      </w:r>
      <w:r>
        <w:rPr>
          <w:rFonts w:hint="eastAsia"/>
          <w:lang w:val="en-US" w:eastAsia="zh-CN"/>
        </w:rPr>
        <w:t>次</w:t>
      </w:r>
      <w:r>
        <w:t>招募过程中，</w:t>
      </w:r>
      <w:r>
        <w:rPr>
          <w:rFonts w:hint="eastAsia"/>
          <w:lang w:val="en-US" w:eastAsia="zh-CN"/>
        </w:rPr>
        <w:t>现有投资人</w:t>
      </w:r>
      <w:r>
        <w:t>在其他意向投资人的同等条件下（同等金额的</w:t>
      </w:r>
      <w:r>
        <w:rPr>
          <w:rFonts w:hint="eastAsia"/>
          <w:lang w:val="en-US" w:eastAsia="zh-CN"/>
        </w:rPr>
        <w:t>总投资额、</w:t>
      </w:r>
      <w:r>
        <w:rPr>
          <w:rFonts w:hint="eastAsia"/>
        </w:rPr>
        <w:t>首期投资额</w:t>
      </w:r>
      <w:r>
        <w:rPr>
          <w:rFonts w:hint="eastAsia"/>
          <w:lang w:eastAsia="zh-CN"/>
        </w:rPr>
        <w:t>、</w:t>
      </w:r>
      <w:r>
        <w:rPr>
          <w:rFonts w:hint="eastAsia"/>
        </w:rPr>
        <w:t>清偿率、资金到位时间等</w:t>
      </w:r>
      <w:r>
        <w:t>）具有被优先选任作为“正式重整投资人”的权利。</w:t>
      </w:r>
    </w:p>
    <w:p w14:paraId="7F63AC31">
      <w:pPr>
        <w:pStyle w:val="12"/>
        <w:ind w:left="0" w:leftChars="0" w:firstLine="480" w:firstLineChars="200"/>
        <w:rPr>
          <w:rFonts w:hint="eastAsia" w:ascii="黑体" w:hAnsi="黑体" w:eastAsia="黑体" w:cs="黑体"/>
        </w:rPr>
      </w:pPr>
      <w:r>
        <w:rPr>
          <w:rFonts w:hint="eastAsia" w:ascii="黑体" w:hAnsi="黑体" w:eastAsia="黑体" w:cs="黑体"/>
        </w:rPr>
        <w:t>六、《重整投资方案》的编制及提交要求</w:t>
      </w:r>
    </w:p>
    <w:p w14:paraId="3D463355">
      <w:pPr>
        <w:pStyle w:val="12"/>
        <w:ind w:left="0" w:leftChars="0" w:firstLine="480" w:firstLineChars="200"/>
      </w:pPr>
      <w:r>
        <w:t>（一）意向投资人应仔细阅读本招募公告，按要求编制《重整投资方案》，并保证方案的真实性、准确性和完整性。</w:t>
      </w:r>
    </w:p>
    <w:p w14:paraId="425402AF">
      <w:pPr>
        <w:pStyle w:val="12"/>
        <w:ind w:left="0" w:leftChars="0" w:firstLine="480" w:firstLineChars="200"/>
        <w:rPr>
          <w:highlight w:val="yellow"/>
        </w:rPr>
      </w:pPr>
      <w:r>
        <w:t>（二）</w:t>
      </w:r>
      <w:r>
        <w:rPr>
          <w:rFonts w:hint="eastAsia"/>
        </w:rPr>
        <w:t>本案重整投资方式为开放形式，意向投资人可根据自身情况选择多种投资方式。重整投资方式包括但不限于：股权收购式重整、资产买断式重整、投放共益债、带资代建等。</w:t>
      </w:r>
    </w:p>
    <w:p w14:paraId="49021556">
      <w:pPr>
        <w:pStyle w:val="12"/>
        <w:ind w:left="0" w:leftChars="0" w:firstLine="480" w:firstLineChars="200"/>
      </w:pPr>
      <w:r>
        <w:rPr>
          <w:highlight w:val="none"/>
        </w:rPr>
        <w:t>（三）</w:t>
      </w:r>
      <w:r>
        <w:rPr>
          <w:rFonts w:hint="eastAsia"/>
          <w:highlight w:val="none"/>
        </w:rPr>
        <w:t>《重整投资方案》的具体内容包括但不限于：投资人概况、投资方式、投资金额、付款方式、资金使用计划、重整经营方案及经营规划、债权清偿方案、职工安置方案、</w:t>
      </w:r>
      <w:r>
        <w:rPr>
          <w:highlight w:val="none"/>
        </w:rPr>
        <w:t>在建工程的工程款、购房户处理方案</w:t>
      </w:r>
      <w:r>
        <w:rPr>
          <w:rFonts w:hint="eastAsia"/>
          <w:highlight w:val="none"/>
          <w:lang w:eastAsia="zh-CN"/>
        </w:rPr>
        <w:t>、</w:t>
      </w:r>
      <w:r>
        <w:rPr>
          <w:highlight w:val="none"/>
        </w:rPr>
        <w:t>项目完成进度计划和时间、</w:t>
      </w:r>
      <w:r>
        <w:t>履约保证、后续经营方案、管理人要求的其他内容。</w:t>
      </w:r>
    </w:p>
    <w:p w14:paraId="0FB02099">
      <w:pPr>
        <w:pStyle w:val="12"/>
        <w:ind w:left="0" w:leftChars="0" w:firstLine="480" w:firstLineChars="200"/>
        <w:rPr>
          <w:rFonts w:hint="eastAsia" w:ascii="黑体" w:hAnsi="黑体" w:eastAsia="黑体" w:cs="黑体"/>
        </w:rPr>
      </w:pPr>
      <w:r>
        <w:rPr>
          <w:rFonts w:hint="eastAsia" w:ascii="黑体" w:hAnsi="黑体" w:eastAsia="黑体" w:cs="黑体"/>
        </w:rPr>
        <w:t>七、意向保证金的缴纳及退还</w:t>
      </w:r>
    </w:p>
    <w:p w14:paraId="217D7EE7">
      <w:pPr>
        <w:pStyle w:val="12"/>
        <w:ind w:left="0" w:leftChars="0" w:firstLine="480" w:firstLineChars="200"/>
      </w:pPr>
      <w:r>
        <w:t>（一）意向保证金缴纳账户如下：</w:t>
      </w:r>
    </w:p>
    <w:p w14:paraId="64883E8D">
      <w:pPr>
        <w:pStyle w:val="12"/>
        <w:ind w:left="0" w:leftChars="0" w:firstLine="480" w:firstLineChars="200"/>
        <w:rPr>
          <w:rFonts w:hint="eastAsia"/>
          <w:lang w:eastAsia="zh-CN"/>
        </w:rPr>
      </w:pPr>
      <w:r>
        <w:t>户名：</w:t>
      </w:r>
      <w:r>
        <w:rPr>
          <w:rFonts w:hint="eastAsia"/>
        </w:rPr>
        <w:t>毕节市梧桐房地产开发有限公司</w:t>
      </w:r>
      <w:r>
        <w:t>临时管理人</w:t>
      </w:r>
      <w:r>
        <w:rPr>
          <w:rFonts w:hint="eastAsia"/>
          <w:lang w:eastAsia="zh-CN"/>
        </w:rPr>
        <w:t>；</w:t>
      </w:r>
    </w:p>
    <w:p w14:paraId="7B7310B3">
      <w:pPr>
        <w:pStyle w:val="12"/>
        <w:ind w:left="0" w:leftChars="0" w:firstLine="480" w:firstLineChars="200"/>
        <w:rPr>
          <w:rFonts w:hint="eastAsia"/>
          <w:lang w:val="en-US" w:eastAsia="zh-CN"/>
        </w:rPr>
      </w:pPr>
      <w:r>
        <w:t>账号：</w:t>
      </w:r>
      <w:r>
        <w:rPr>
          <w:rFonts w:hint="eastAsia"/>
          <w:lang w:val="en-US" w:eastAsia="zh-CN"/>
        </w:rPr>
        <w:t>2406015339200141340；</w:t>
      </w:r>
    </w:p>
    <w:p w14:paraId="744CD545">
      <w:pPr>
        <w:pStyle w:val="12"/>
        <w:ind w:left="0" w:leftChars="0" w:firstLine="480" w:firstLineChars="200"/>
        <w:rPr>
          <w:rFonts w:hint="default" w:eastAsia="宋体"/>
          <w:lang w:val="en-US" w:eastAsia="zh-CN"/>
        </w:rPr>
      </w:pPr>
      <w:r>
        <w:t>开户行：</w:t>
      </w:r>
      <w:r>
        <w:rPr>
          <w:rFonts w:hint="eastAsia"/>
          <w:lang w:val="en-US" w:eastAsia="zh-CN"/>
        </w:rPr>
        <w:t>中国工商银行股份有限公司毕节德溪支行</w:t>
      </w:r>
    </w:p>
    <w:p w14:paraId="3AC8DE43">
      <w:pPr>
        <w:pStyle w:val="12"/>
        <w:ind w:left="0" w:leftChars="0" w:firstLine="480" w:firstLineChars="200"/>
      </w:pPr>
      <w:r>
        <w:t>（二）意向保证金的缴纳</w:t>
      </w:r>
    </w:p>
    <w:p w14:paraId="2E59CF67">
      <w:pPr>
        <w:pStyle w:val="12"/>
        <w:ind w:left="0" w:leftChars="0" w:firstLine="480" w:firstLineChars="200"/>
      </w:pPr>
      <w:r>
        <w:t>意向保证金应汇入临时管理人指定的银行账户，未按规定缴纳保证金的，报名无效。</w:t>
      </w:r>
    </w:p>
    <w:p w14:paraId="00AD8CFA">
      <w:pPr>
        <w:pStyle w:val="12"/>
        <w:ind w:left="0" w:leftChars="0" w:firstLine="480" w:firstLineChars="200"/>
      </w:pPr>
      <w:r>
        <w:t>（三）意向保证金的退还</w:t>
      </w:r>
    </w:p>
    <w:p w14:paraId="129F885A">
      <w:pPr>
        <w:pStyle w:val="12"/>
        <w:ind w:left="0" w:leftChars="0" w:firstLine="480" w:firstLineChars="200"/>
      </w:pPr>
      <w:r>
        <w:t>临时管理人经核实，</w:t>
      </w:r>
      <w:r>
        <w:rPr>
          <w:rFonts w:hint="eastAsia"/>
          <w:lang w:val="en-US" w:eastAsia="zh-CN"/>
        </w:rPr>
        <w:t>意向投资人</w:t>
      </w:r>
      <w:r>
        <w:t>如提交虚假资料，包括但不限于提供虚假业绩证明、虚假财务报表、虚假诚信证明等，将取消其参选资格，已缴纳的意向保证金不予退还。</w:t>
      </w:r>
    </w:p>
    <w:p w14:paraId="2ECD40EF">
      <w:pPr>
        <w:pStyle w:val="12"/>
        <w:ind w:left="0" w:leftChars="0" w:firstLine="480" w:firstLineChars="200"/>
        <w:rPr>
          <w:rFonts w:hint="eastAsia"/>
        </w:rPr>
      </w:pPr>
      <w:r>
        <w:rPr>
          <w:rFonts w:hint="eastAsia"/>
        </w:rPr>
        <w:t>若有多家意向投资人提交《重整投资方案》的，经过遴选未能中选的意向投资人，已缴纳的保证金无息退还；因本案未能进入破产重整程序或进入破产重整程序后重整计划（草案）未通过表决、获得批准的，已缴纳的保证金无息退还。意向投资人被确定为中选重整投资人</w:t>
      </w:r>
      <w:r>
        <w:rPr>
          <w:rFonts w:hint="eastAsia"/>
          <w:lang w:val="en-US" w:eastAsia="zh-CN"/>
        </w:rPr>
        <w:t>保证金自动转为履约保证金（如中选投资人未能按照投资方案签订《重整投资协议》的，履约保证金不予退还），在</w:t>
      </w:r>
      <w:r>
        <w:rPr>
          <w:rFonts w:hint="eastAsia"/>
        </w:rPr>
        <w:t>签订《重整投资协议》后，</w:t>
      </w:r>
      <w:r>
        <w:rPr>
          <w:rFonts w:hint="eastAsia"/>
          <w:lang w:val="en-US" w:eastAsia="zh-CN"/>
        </w:rPr>
        <w:t>履约</w:t>
      </w:r>
      <w:r>
        <w:rPr>
          <w:rFonts w:hint="eastAsia"/>
        </w:rPr>
        <w:t>保证金自动转为重整投资款</w:t>
      </w:r>
      <w:r>
        <w:rPr>
          <w:rFonts w:hint="eastAsia"/>
          <w:lang w:eastAsia="zh-CN"/>
        </w:rPr>
        <w:t>。</w:t>
      </w:r>
    </w:p>
    <w:p w14:paraId="2AB0EDB5">
      <w:pPr>
        <w:pStyle w:val="12"/>
        <w:ind w:left="0" w:leftChars="0" w:firstLine="480" w:firstLineChars="200"/>
        <w:rPr>
          <w:rFonts w:hint="eastAsia" w:ascii="黑体" w:hAnsi="黑体" w:eastAsia="黑体" w:cs="黑体"/>
        </w:rPr>
      </w:pPr>
      <w:r>
        <w:rPr>
          <w:rFonts w:hint="eastAsia" w:ascii="黑体" w:hAnsi="黑体" w:eastAsia="黑体" w:cs="黑体"/>
        </w:rPr>
        <w:t>八、通讯联络和资料提交</w:t>
      </w:r>
    </w:p>
    <w:p w14:paraId="0E6A4EBC">
      <w:pPr>
        <w:pStyle w:val="12"/>
        <w:ind w:left="0" w:leftChars="0" w:firstLine="480" w:firstLineChars="200"/>
      </w:pPr>
      <w:r>
        <w:t>办公地址：</w:t>
      </w:r>
      <w:r>
        <w:rPr>
          <w:rFonts w:hint="eastAsia"/>
        </w:rPr>
        <w:t>贵州省毕节市大方县归化街道办事处杨柳社区文翰路凤凰城营销中心1楼临时管理人办公室</w:t>
      </w:r>
      <w:r>
        <w:t>。</w:t>
      </w:r>
    </w:p>
    <w:p w14:paraId="75CD31B8">
      <w:pPr>
        <w:pStyle w:val="12"/>
        <w:ind w:left="0" w:leftChars="0" w:firstLine="480" w:firstLineChars="200"/>
        <w:rPr>
          <w:rFonts w:hint="eastAsia"/>
        </w:rPr>
      </w:pPr>
      <w:r>
        <w:t>收件地址：</w:t>
      </w:r>
      <w:r>
        <w:rPr>
          <w:rFonts w:hint="eastAsia"/>
        </w:rPr>
        <w:t>贵州省毕节市大方县归化街道办事处杨柳社区文翰路凤凰城营销中心1楼临时管理人办公室</w:t>
      </w:r>
      <w:r>
        <w:t>。联系人</w:t>
      </w:r>
      <w:r>
        <w:rPr>
          <w:rFonts w:hint="eastAsia"/>
          <w:lang w:val="en-US" w:eastAsia="zh-CN"/>
        </w:rPr>
        <w:t>及电话</w:t>
      </w:r>
      <w:r>
        <w:t>：</w:t>
      </w:r>
      <w:r>
        <w:rPr>
          <w:rFonts w:hint="eastAsia"/>
          <w:lang w:val="en-US" w:eastAsia="zh-CN"/>
        </w:rPr>
        <w:t>倪康17586272364、16685071047、何敏18684104750</w:t>
      </w:r>
      <w:r>
        <w:rPr>
          <w:rFonts w:hint="eastAsia"/>
          <w:lang w:eastAsia="zh-CN"/>
        </w:rPr>
        <w:t>；</w:t>
      </w:r>
      <w:r>
        <w:t>联系邮箱：</w:t>
      </w:r>
      <w:r>
        <w:rPr>
          <w:rFonts w:hint="eastAsia"/>
        </w:rPr>
        <w:fldChar w:fldCharType="begin"/>
      </w:r>
      <w:r>
        <w:rPr>
          <w:rFonts w:hint="eastAsia"/>
        </w:rPr>
        <w:instrText xml:space="preserve"> HYPERLINK "mailto:wtfdcglr@163.com" </w:instrText>
      </w:r>
      <w:r>
        <w:rPr>
          <w:rFonts w:hint="eastAsia"/>
        </w:rPr>
        <w:fldChar w:fldCharType="separate"/>
      </w:r>
      <w:r>
        <w:rPr>
          <w:rStyle w:val="18"/>
          <w:rFonts w:hint="eastAsia"/>
        </w:rPr>
        <w:t>wtfdcglr@163.com</w:t>
      </w:r>
      <w:r>
        <w:rPr>
          <w:rFonts w:hint="eastAsia"/>
        </w:rPr>
        <w:fldChar w:fldCharType="end"/>
      </w:r>
    </w:p>
    <w:p w14:paraId="56C4832F">
      <w:pPr>
        <w:pStyle w:val="12"/>
        <w:ind w:left="0" w:leftChars="0" w:firstLine="480" w:firstLineChars="200"/>
      </w:pPr>
      <w:r>
        <w:t>特此公告。</w:t>
      </w:r>
    </w:p>
    <w:p w14:paraId="097E6558">
      <w:pPr>
        <w:pStyle w:val="12"/>
        <w:ind w:left="0" w:leftChars="0" w:firstLine="480" w:firstLineChars="200"/>
      </w:pPr>
    </w:p>
    <w:p w14:paraId="1408DEE0">
      <w:pPr>
        <w:pStyle w:val="12"/>
        <w:ind w:left="0" w:leftChars="0" w:firstLine="480" w:firstLineChars="200"/>
        <w:jc w:val="right"/>
      </w:pPr>
      <w:r>
        <w:rPr>
          <w:rFonts w:hint="eastAsia"/>
        </w:rPr>
        <w:t>毕节市梧桐房地产开发有限公司</w:t>
      </w:r>
      <w:r>
        <w:t>临时管理人</w:t>
      </w:r>
    </w:p>
    <w:p w14:paraId="68368D89">
      <w:pPr>
        <w:pStyle w:val="12"/>
        <w:ind w:left="0" w:leftChars="0" w:firstLine="480" w:firstLineChars="200"/>
        <w:jc w:val="right"/>
      </w:pPr>
      <w:r>
        <w:t>二〇二</w:t>
      </w:r>
      <w:r>
        <w:rPr>
          <w:rFonts w:hint="eastAsia"/>
          <w:lang w:val="en-US" w:eastAsia="zh-CN"/>
        </w:rPr>
        <w:t>六</w:t>
      </w:r>
      <w:r>
        <w:t>年</w:t>
      </w:r>
      <w:r>
        <w:rPr>
          <w:rFonts w:hint="eastAsia"/>
          <w:lang w:val="en-US" w:eastAsia="zh-CN"/>
        </w:rPr>
        <w:t>二</w:t>
      </w:r>
      <w:r>
        <w:t>月</w:t>
      </w:r>
      <w:r>
        <w:rPr>
          <w:rFonts w:hint="eastAsia"/>
          <w:lang w:val="en-US" w:eastAsia="zh-CN"/>
        </w:rPr>
        <w:t>五</w:t>
      </w:r>
      <w: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D2175D7-18D4-4C0F-B1CB-84A0B9CB772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2E493F26-E5B6-48D6-9B4A-46C611876E18}"/>
  </w:font>
  <w:font w:name="方正楷体_GB2312">
    <w:panose1 w:val="02000000000000000000"/>
    <w:charset w:val="86"/>
    <w:family w:val="auto"/>
    <w:pitch w:val="default"/>
    <w:sig w:usb0="A00002BF" w:usb1="184F6CFA" w:usb2="00000012" w:usb3="00000000" w:csb0="00040001" w:csb1="00000000"/>
    <w:embedRegular r:id="rId3" w:fontKey="{3016F380-185C-4881-AE39-340612A60C94}"/>
  </w:font>
  <w:font w:name="WPSEMBED1">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342E3A"/>
    <w:rsid w:val="00CD67D8"/>
    <w:rsid w:val="01D628BE"/>
    <w:rsid w:val="035166A0"/>
    <w:rsid w:val="040573FF"/>
    <w:rsid w:val="06AE6313"/>
    <w:rsid w:val="0D8D4779"/>
    <w:rsid w:val="13570030"/>
    <w:rsid w:val="1D5277E1"/>
    <w:rsid w:val="1F342E3A"/>
    <w:rsid w:val="21FA0237"/>
    <w:rsid w:val="28665E9B"/>
    <w:rsid w:val="2F13670D"/>
    <w:rsid w:val="30197C97"/>
    <w:rsid w:val="311927AD"/>
    <w:rsid w:val="37593959"/>
    <w:rsid w:val="380A05F1"/>
    <w:rsid w:val="3952113D"/>
    <w:rsid w:val="3CAF79B9"/>
    <w:rsid w:val="3D023F8C"/>
    <w:rsid w:val="3F5E0748"/>
    <w:rsid w:val="41A27AEC"/>
    <w:rsid w:val="436C03B1"/>
    <w:rsid w:val="43706CD2"/>
    <w:rsid w:val="46B33089"/>
    <w:rsid w:val="4729480B"/>
    <w:rsid w:val="489839F7"/>
    <w:rsid w:val="4F9D5D96"/>
    <w:rsid w:val="517B60D2"/>
    <w:rsid w:val="52F31B8D"/>
    <w:rsid w:val="54616BFB"/>
    <w:rsid w:val="5525352F"/>
    <w:rsid w:val="5BE07737"/>
    <w:rsid w:val="5C6D3286"/>
    <w:rsid w:val="5E3C6BDC"/>
    <w:rsid w:val="5E524A89"/>
    <w:rsid w:val="612C0D28"/>
    <w:rsid w:val="64803865"/>
    <w:rsid w:val="64AA3487"/>
    <w:rsid w:val="65216040"/>
    <w:rsid w:val="65B306B7"/>
    <w:rsid w:val="68CF78E1"/>
    <w:rsid w:val="6D354E17"/>
    <w:rsid w:val="6DA030D3"/>
    <w:rsid w:val="6DC02F24"/>
    <w:rsid w:val="76405288"/>
    <w:rsid w:val="7A5213A8"/>
    <w:rsid w:val="7CFD60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next w:val="1"/>
    <w:qFormat/>
    <w:uiPriority w:val="0"/>
    <w:pPr>
      <w:keepNext w:val="0"/>
      <w:keepLines w:val="0"/>
      <w:widowControl w:val="0"/>
      <w:spacing w:before="240" w:beforeLines="0" w:after="120" w:line="360" w:lineRule="auto"/>
      <w:jc w:val="left"/>
      <w:outlineLvl w:val="0"/>
    </w:pPr>
    <w:rPr>
      <w:rFonts w:ascii="宋体" w:hAnsi="宋体" w:eastAsia="宋体" w:cs="宋体"/>
      <w:b/>
      <w:bCs/>
      <w:kern w:val="44"/>
      <w:sz w:val="24"/>
      <w:szCs w:val="30"/>
    </w:rPr>
  </w:style>
  <w:style w:type="paragraph" w:styleId="3">
    <w:name w:val="heading 2"/>
    <w:next w:val="1"/>
    <w:semiHidden/>
    <w:unhideWhenUsed/>
    <w:qFormat/>
    <w:uiPriority w:val="0"/>
    <w:pPr>
      <w:keepNext w:val="0"/>
      <w:keepLines w:val="0"/>
      <w:widowControl w:val="0"/>
      <w:spacing w:beforeAutospacing="0" w:after="120" w:afterAutospacing="0" w:line="360" w:lineRule="auto"/>
      <w:jc w:val="left"/>
      <w:outlineLvl w:val="1"/>
    </w:pPr>
    <w:rPr>
      <w:rFonts w:ascii="Times New Roman" w:hAnsi="Times New Roman" w:eastAsia="宋体" w:cs="Times New Roman"/>
      <w:b/>
      <w:sz w:val="24"/>
    </w:rPr>
  </w:style>
  <w:style w:type="paragraph" w:styleId="4">
    <w:name w:val="heading 3"/>
    <w:next w:val="1"/>
    <w:semiHidden/>
    <w:unhideWhenUsed/>
    <w:qFormat/>
    <w:uiPriority w:val="0"/>
    <w:pPr>
      <w:keepNext w:val="0"/>
      <w:keepLines w:val="0"/>
      <w:widowControl w:val="0"/>
      <w:spacing w:beforeAutospacing="0" w:after="120" w:afterAutospacing="0" w:line="360" w:lineRule="auto"/>
      <w:jc w:val="left"/>
      <w:outlineLvl w:val="2"/>
    </w:pPr>
    <w:rPr>
      <w:rFonts w:ascii="Times New Roman" w:hAnsi="Times New Roman" w:eastAsia="宋体" w:cs="Times New Roman"/>
      <w:b/>
      <w:sz w:val="24"/>
    </w:rPr>
  </w:style>
  <w:style w:type="paragraph" w:styleId="5">
    <w:name w:val="heading 4"/>
    <w:next w:val="1"/>
    <w:semiHidden/>
    <w:unhideWhenUsed/>
    <w:qFormat/>
    <w:uiPriority w:val="0"/>
    <w:pPr>
      <w:keepNext w:val="0"/>
      <w:keepLines w:val="0"/>
      <w:widowControl w:val="0"/>
      <w:spacing w:beforeAutospacing="0" w:after="120" w:afterAutospacing="0" w:line="360" w:lineRule="auto"/>
      <w:outlineLvl w:val="3"/>
    </w:pPr>
    <w:rPr>
      <w:rFonts w:ascii="Times New Roman" w:hAnsi="Times New Roman" w:eastAsia="宋体" w:cs="Times New Roman"/>
      <w:sz w:val="24"/>
    </w:rPr>
  </w:style>
  <w:style w:type="paragraph" w:styleId="6">
    <w:name w:val="heading 5"/>
    <w:next w:val="1"/>
    <w:semiHidden/>
    <w:unhideWhenUsed/>
    <w:qFormat/>
    <w:uiPriority w:val="0"/>
    <w:pPr>
      <w:keepNext w:val="0"/>
      <w:keepLines w:val="0"/>
      <w:widowControl w:val="0"/>
      <w:spacing w:beforeLines="0" w:beforeAutospacing="0" w:after="120" w:afterLines="0" w:afterAutospacing="0" w:line="440" w:lineRule="exact"/>
      <w:jc w:val="left"/>
      <w:outlineLvl w:val="4"/>
    </w:pPr>
    <w:rPr>
      <w:rFonts w:ascii="Times New Roman" w:hAnsi="Times New Roman" w:eastAsia="宋体" w:cs="Times New Roman"/>
      <w:sz w:val="24"/>
    </w:rPr>
  </w:style>
  <w:style w:type="paragraph" w:styleId="7">
    <w:name w:val="heading 6"/>
    <w:next w:val="1"/>
    <w:semiHidden/>
    <w:unhideWhenUsed/>
    <w:qFormat/>
    <w:uiPriority w:val="0"/>
    <w:pPr>
      <w:keepNext w:val="0"/>
      <w:keepLines w:val="0"/>
      <w:widowControl w:val="0"/>
      <w:spacing w:beforeLines="0" w:beforeAutospacing="0" w:after="120" w:afterLines="0" w:afterAutospacing="0" w:line="360" w:lineRule="auto"/>
      <w:jc w:val="left"/>
      <w:outlineLvl w:val="5"/>
    </w:pPr>
    <w:rPr>
      <w:rFonts w:ascii="Times New Roman" w:hAnsi="Times New Roman" w:eastAsia="宋体" w:cs="Times New Roman"/>
      <w:sz w:val="24"/>
    </w:rPr>
  </w:style>
  <w:style w:type="paragraph" w:styleId="8">
    <w:name w:val="heading 7"/>
    <w:next w:val="1"/>
    <w:semiHidden/>
    <w:unhideWhenUsed/>
    <w:qFormat/>
    <w:uiPriority w:val="0"/>
    <w:pPr>
      <w:keepNext w:val="0"/>
      <w:keepLines w:val="0"/>
      <w:widowControl w:val="0"/>
      <w:spacing w:beforeLines="0" w:beforeAutospacing="0" w:after="120" w:afterLines="0" w:afterAutospacing="0" w:line="360" w:lineRule="auto"/>
      <w:jc w:val="left"/>
      <w:outlineLvl w:val="6"/>
    </w:pPr>
    <w:rPr>
      <w:rFonts w:ascii="Times New Roman" w:hAnsi="Times New Roman" w:eastAsia="宋体" w:cs="Times New Roman"/>
      <w:sz w:val="24"/>
    </w:rPr>
  </w:style>
  <w:style w:type="paragraph" w:styleId="9">
    <w:name w:val="heading 8"/>
    <w:next w:val="1"/>
    <w:semiHidden/>
    <w:unhideWhenUsed/>
    <w:qFormat/>
    <w:uiPriority w:val="0"/>
    <w:pPr>
      <w:keepNext w:val="0"/>
      <w:keepLines w:val="0"/>
      <w:widowControl w:val="0"/>
      <w:spacing w:beforeLines="0" w:beforeAutospacing="0" w:after="120" w:afterLines="0" w:afterAutospacing="0" w:line="360" w:lineRule="auto"/>
      <w:jc w:val="left"/>
      <w:outlineLvl w:val="7"/>
    </w:pPr>
    <w:rPr>
      <w:rFonts w:ascii="Times New Roman" w:hAnsi="Times New Roman" w:eastAsia="宋体" w:cs="Times New Roman"/>
      <w:sz w:val="24"/>
    </w:rPr>
  </w:style>
  <w:style w:type="paragraph" w:styleId="10">
    <w:name w:val="heading 9"/>
    <w:next w:val="1"/>
    <w:semiHidden/>
    <w:unhideWhenUsed/>
    <w:qFormat/>
    <w:uiPriority w:val="0"/>
    <w:pPr>
      <w:keepNext w:val="0"/>
      <w:keepLines w:val="0"/>
      <w:widowControl w:val="0"/>
      <w:spacing w:beforeLines="0" w:beforeAutospacing="0" w:after="120" w:afterLines="0" w:afterAutospacing="0" w:line="360" w:lineRule="auto"/>
      <w:jc w:val="left"/>
      <w:outlineLvl w:val="8"/>
    </w:pPr>
    <w:rPr>
      <w:rFonts w:ascii="Times New Roman" w:hAnsi="Times New Roman" w:eastAsia="宋体" w:cs="Times New Roman"/>
      <w:sz w:val="24"/>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annotation text"/>
    <w:basedOn w:val="1"/>
    <w:qFormat/>
    <w:uiPriority w:val="0"/>
    <w:pPr>
      <w:jc w:val="left"/>
    </w:pPr>
  </w:style>
  <w:style w:type="paragraph" w:styleId="12">
    <w:name w:val="Body Text"/>
    <w:qFormat/>
    <w:uiPriority w:val="0"/>
    <w:pPr>
      <w:widowControl w:val="0"/>
      <w:spacing w:after="120" w:afterAutospacing="0" w:line="360" w:lineRule="auto"/>
      <w:ind w:firstLine="420" w:firstLineChars="200"/>
    </w:pPr>
    <w:rPr>
      <w:rFonts w:ascii="Times New Roman" w:hAnsi="Times New Roman" w:eastAsia="宋体" w:cs="Times New Roman"/>
      <w:sz w:val="24"/>
    </w:rPr>
  </w:style>
  <w:style w:type="paragraph" w:styleId="13">
    <w:name w:val="Subtitle"/>
    <w:qFormat/>
    <w:uiPriority w:val="0"/>
    <w:pPr>
      <w:widowControl w:val="0"/>
      <w:spacing w:beforeLines="0" w:beforeAutospacing="0" w:after="240" w:afterLines="0" w:afterAutospacing="0" w:line="240" w:lineRule="auto"/>
      <w:jc w:val="center"/>
      <w:outlineLvl w:val="9"/>
    </w:pPr>
    <w:rPr>
      <w:rFonts w:ascii="Times New Roman" w:hAnsi="Times New Roman" w:eastAsia="宋体" w:cs="Times New Roman"/>
      <w:kern w:val="28"/>
      <w:sz w:val="21"/>
    </w:rPr>
  </w:style>
  <w:style w:type="paragraph" w:styleId="14">
    <w:name w:val="Title"/>
    <w:qFormat/>
    <w:uiPriority w:val="0"/>
    <w:pPr>
      <w:spacing w:before="240" w:beforeAutospacing="0" w:after="240" w:afterAutospacing="0" w:line="240" w:lineRule="auto"/>
      <w:jc w:val="center"/>
      <w:outlineLvl w:val="9"/>
    </w:pPr>
    <w:rPr>
      <w:rFonts w:ascii="Times New Roman" w:hAnsi="Times New Roman" w:eastAsia="宋体" w:cs="Times New Roman"/>
      <w:b/>
      <w:sz w:val="32"/>
    </w:rPr>
  </w:style>
  <w:style w:type="table" w:styleId="16">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Hyperlink"/>
    <w:basedOn w:val="17"/>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2e78fe47-efa5-40c3-8bba-10c110102275</errorID>
      <errorWord>开</errorWord>
      <group>L1_Word</group>
      <groupName>字词问题</groupName>
      <ability>L2_Typo</ability>
      <abilityName>字词错误</abilityName>
      <candidateList>
        <item>开发</item>
      </candidateList>
      <explain>〈动〉支付；分发：～车钱｜～喜钱。</explain>
      <paraID>36B931BC</paraID>
      <start>5</start>
      <end>6</end>
      <status>unmodified</status>
      <modifiedWord/>
      <trackRevisions>false</trackRevisions>
    </reviewItem>
    <reviewItem>
      <errorID>d3ed4204-d85d-48f6-b518-b8cff325515f</errorID>
      <errorWord>万</errorWord>
      <group>L1_Word</group>
      <groupName>字词问题</groupName>
      <ability>L2_Typo</ability>
      <abilityName>字词错误</abilityName>
      <candidateList>
        <item>万元</item>
      </candidateList>
      <explain/>
      <paraID>5C3EFBE9</paraID>
      <start>19</start>
      <end>21</end>
      <status>modified</status>
      <modifiedWord>万元</modifiedWord>
      <trackRevisions>false</trackRevisions>
    </reviewItem>
    <reviewItem>
      <errorID>349c45ee-728e-466b-bb52-6034ffbd84bc</errorID>
      <errorWord>式</errorWord>
      <group>L1_Word</group>
      <groupName>字词问题</groupName>
      <ability>L2_Typo</ability>
      <abilityName>字词错误</abilityName>
      <candidateList>
        <item>式为</item>
      </candidateList>
      <explain/>
      <paraID>1C5777B6</paraID>
      <start>6</start>
      <end>8</end>
      <status>modified</status>
      <modifiedWord>式为</modifiedWord>
      <trackRevisions>false</trackRevisions>
    </reviewItem>
  </reviewItems>
  <config/>
</contractReview>
</file>

<file path=customXml/itemProps1.xml><?xml version="1.0" encoding="utf-8"?>
<ds:datastoreItem xmlns:ds="http://schemas.openxmlformats.org/officeDocument/2006/customXml" ds:itemID="{96003beb-7a02-4a80-98ec-fadd1d7148e4}">
  <ds:schemaRefs/>
</ds:datastoreItem>
</file>

<file path=docProps/app.xml><?xml version="1.0" encoding="utf-8"?>
<Properties xmlns="http://schemas.openxmlformats.org/officeDocument/2006/extended-properties" xmlns:vt="http://schemas.openxmlformats.org/officeDocument/2006/docPropsVTypes">
  <Template>Normal.dotm</Template>
  <Pages>6</Pages>
  <Words>3830</Words>
  <Characters>4097</Characters>
  <Lines>0</Lines>
  <Paragraphs>0</Paragraphs>
  <TotalTime>6</TotalTime>
  <ScaleCrop>false</ScaleCrop>
  <LinksUpToDate>false</LinksUpToDate>
  <CharactersWithSpaces>4097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2026-01-07T03:49:00Z</dcterms:created>
  <dc:creator>mR.Zeng</dc:creator>
  <cp:lastModifiedBy>法客</cp:lastModifiedBy>
  <dcterms:modified xsi:type="dcterms:W3CDTF">2026-02-05T01:29:00Z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0E675244861249669CDCDDCF751FFC00_13</vt:lpwstr>
  </property>
  <property fmtid="{D5CDD505-2E9C-101B-9397-08002B2CF9AE}" pid="4" name="KSOTemplateDocerSaveRecord">
    <vt:lpwstr>eyJoZGlkIjoiZmQ3MjBjYTg1MDlkOWI5OGZhMTNmOTAxNTAyMDc0MmIiLCJ1c2VySWQiOiIzMDczMzQ2MjMifQ==</vt:lpwstr>
  </property>
</Properties>
</file>