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15B3E47">
      <w:pPr>
        <w:spacing w:line="640" w:lineRule="exact"/>
        <w:jc w:val="center"/>
        <w:rPr>
          <w:rFonts w:hint="default" w:ascii="黑体" w:hAnsi="黑体" w:eastAsia="黑体" w:cs="宋体"/>
          <w:bCs/>
          <w:color w:val="auto"/>
          <w:sz w:val="36"/>
          <w:szCs w:val="36"/>
          <w:lang w:val="en-US" w:eastAsia="zh-CN"/>
        </w:rPr>
      </w:pPr>
      <w:r>
        <w:rPr>
          <w:rFonts w:hint="eastAsia" w:ascii="黑体" w:hAnsi="黑体" w:eastAsia="黑体" w:cs="宋体"/>
          <w:bCs/>
          <w:color w:val="auto"/>
          <w:sz w:val="36"/>
          <w:szCs w:val="36"/>
          <w:lang w:val="en-US" w:eastAsia="zh-CN"/>
        </w:rPr>
        <w:t>同意适用默示推定规则</w:t>
      </w:r>
      <w:r>
        <w:rPr>
          <w:rFonts w:hint="default" w:ascii="黑体" w:hAnsi="黑体" w:eastAsia="黑体" w:cs="宋体"/>
          <w:bCs/>
          <w:color w:val="auto"/>
          <w:sz w:val="36"/>
          <w:szCs w:val="36"/>
          <w:lang w:val="en-US" w:eastAsia="zh-CN"/>
        </w:rPr>
        <w:t>声明书</w:t>
      </w:r>
    </w:p>
    <w:p w14:paraId="62A44CBC">
      <w:pPr>
        <w:spacing w:line="700" w:lineRule="exact"/>
        <w:rPr>
          <w:rFonts w:hint="default" w:ascii="仿宋" w:hAnsi="仿宋" w:eastAsia="仿宋" w:cs="宋体"/>
          <w:b w:val="0"/>
          <w:bCs/>
          <w:color w:val="auto"/>
          <w:sz w:val="28"/>
          <w:szCs w:val="28"/>
          <w:lang w:val="en-US" w:eastAsia="zh-CN"/>
        </w:rPr>
      </w:pPr>
    </w:p>
    <w:p w14:paraId="15D495BB">
      <w:pPr>
        <w:spacing w:line="700" w:lineRule="exact"/>
        <w:rPr>
          <w:rFonts w:hint="default" w:ascii="仿宋" w:hAnsi="仿宋" w:eastAsia="仿宋" w:cs="宋体"/>
          <w:b w:val="0"/>
          <w:bCs/>
          <w:color w:val="auto"/>
          <w:sz w:val="28"/>
          <w:szCs w:val="28"/>
          <w:lang w:eastAsia="zh-CN"/>
        </w:rPr>
      </w:pPr>
      <w:r>
        <w:rPr>
          <w:rFonts w:hint="eastAsia" w:ascii="仿宋" w:hAnsi="仿宋" w:eastAsia="仿宋" w:cs="宋体"/>
          <w:b w:val="0"/>
          <w:bCs/>
          <w:color w:val="auto"/>
          <w:sz w:val="28"/>
          <w:szCs w:val="28"/>
          <w:lang w:val="en-US" w:eastAsia="zh-CN"/>
        </w:rPr>
        <w:t>东莞聚隆全屋定制家居设计有限公司</w:t>
      </w:r>
      <w:r>
        <w:rPr>
          <w:rFonts w:hint="default" w:ascii="仿宋" w:hAnsi="仿宋" w:eastAsia="仿宋" w:cs="宋体"/>
          <w:b w:val="0"/>
          <w:bCs/>
          <w:color w:val="auto"/>
          <w:sz w:val="28"/>
          <w:szCs w:val="28"/>
          <w:lang w:eastAsia="zh-CN"/>
        </w:rPr>
        <w:t>管理人：</w:t>
      </w:r>
    </w:p>
    <w:p w14:paraId="7410BB67">
      <w:pPr>
        <w:spacing w:line="700" w:lineRule="exact"/>
        <w:ind w:firstLine="560" w:firstLineChars="200"/>
        <w:rPr>
          <w:rFonts w:hint="default" w:ascii="仿宋" w:hAnsi="仿宋" w:eastAsia="仿宋" w:cs="宋体"/>
          <w:b w:val="0"/>
          <w:bCs/>
          <w:color w:val="auto"/>
          <w:sz w:val="28"/>
          <w:szCs w:val="28"/>
          <w:lang w:eastAsia="zh-CN"/>
        </w:rPr>
      </w:pPr>
      <w:r>
        <w:rPr>
          <w:rFonts w:hint="eastAsia" w:ascii="仿宋" w:hAnsi="仿宋" w:eastAsia="仿宋" w:cs="宋体"/>
          <w:b w:val="0"/>
          <w:bCs/>
          <w:color w:val="auto"/>
          <w:sz w:val="28"/>
          <w:szCs w:val="28"/>
          <w:lang w:val="en-US" w:eastAsia="zh-CN"/>
        </w:rPr>
        <w:t>关于东莞聚隆全屋定制家居设计有限公司</w:t>
      </w:r>
      <w:r>
        <w:rPr>
          <w:rFonts w:hint="default" w:ascii="仿宋" w:hAnsi="仿宋" w:eastAsia="仿宋" w:cs="宋体"/>
          <w:b w:val="0"/>
          <w:bCs/>
          <w:color w:val="auto"/>
          <w:sz w:val="28"/>
          <w:szCs w:val="28"/>
          <w:lang w:val="en-US" w:eastAsia="zh-CN"/>
        </w:rPr>
        <w:t>破产清算</w:t>
      </w:r>
      <w:r>
        <w:rPr>
          <w:rFonts w:hint="default" w:ascii="仿宋" w:hAnsi="仿宋" w:eastAsia="仿宋" w:cs="宋体"/>
          <w:b w:val="0"/>
          <w:bCs/>
          <w:color w:val="auto"/>
          <w:sz w:val="28"/>
          <w:szCs w:val="28"/>
          <w:lang w:eastAsia="zh-CN"/>
        </w:rPr>
        <w:t>一案[案号：</w:t>
      </w:r>
      <w:r>
        <w:rPr>
          <w:rFonts w:hint="eastAsia" w:ascii="仿宋" w:hAnsi="仿宋" w:eastAsia="仿宋" w:cs="宋体"/>
          <w:b w:val="0"/>
          <w:bCs/>
          <w:color w:val="auto"/>
          <w:sz w:val="28"/>
          <w:szCs w:val="28"/>
          <w:lang w:eastAsia="zh-CN"/>
        </w:rPr>
        <w:t>（202</w:t>
      </w:r>
      <w:r>
        <w:rPr>
          <w:rFonts w:hint="default" w:ascii="仿宋" w:hAnsi="仿宋" w:eastAsia="仿宋" w:cs="宋体"/>
          <w:b w:val="0"/>
          <w:bCs/>
          <w:color w:val="auto"/>
          <w:sz w:val="28"/>
          <w:szCs w:val="28"/>
          <w:lang w:val="en-US" w:eastAsia="zh-CN"/>
        </w:rPr>
        <w:t>6</w:t>
      </w:r>
      <w:r>
        <w:rPr>
          <w:rFonts w:hint="eastAsia" w:ascii="仿宋" w:hAnsi="仿宋" w:eastAsia="仿宋" w:cs="宋体"/>
          <w:b w:val="0"/>
          <w:bCs/>
          <w:color w:val="auto"/>
          <w:sz w:val="28"/>
          <w:szCs w:val="28"/>
          <w:lang w:eastAsia="zh-CN"/>
        </w:rPr>
        <w:t>）粤19</w:t>
      </w:r>
      <w:r>
        <w:rPr>
          <w:rFonts w:hint="default" w:ascii="仿宋" w:hAnsi="仿宋" w:eastAsia="仿宋" w:cs="宋体"/>
          <w:b w:val="0"/>
          <w:bCs/>
          <w:color w:val="auto"/>
          <w:sz w:val="28"/>
          <w:szCs w:val="28"/>
          <w:lang w:val="en-US" w:eastAsia="zh-CN"/>
        </w:rPr>
        <w:t>71</w:t>
      </w:r>
      <w:r>
        <w:rPr>
          <w:rFonts w:hint="eastAsia" w:ascii="仿宋" w:hAnsi="仿宋" w:eastAsia="仿宋" w:cs="宋体"/>
          <w:b w:val="0"/>
          <w:bCs/>
          <w:color w:val="auto"/>
          <w:sz w:val="28"/>
          <w:szCs w:val="28"/>
          <w:lang w:eastAsia="zh-CN"/>
        </w:rPr>
        <w:t>破1</w:t>
      </w:r>
      <w:r>
        <w:rPr>
          <w:rFonts w:hint="default" w:ascii="仿宋" w:hAnsi="仿宋" w:eastAsia="仿宋" w:cs="宋体"/>
          <w:b w:val="0"/>
          <w:bCs/>
          <w:color w:val="auto"/>
          <w:sz w:val="28"/>
          <w:szCs w:val="28"/>
          <w:lang w:val="en-US" w:eastAsia="zh-CN"/>
        </w:rPr>
        <w:t>4</w:t>
      </w:r>
      <w:r>
        <w:rPr>
          <w:rFonts w:hint="eastAsia" w:ascii="仿宋" w:hAnsi="仿宋" w:eastAsia="仿宋" w:cs="宋体"/>
          <w:b w:val="0"/>
          <w:bCs/>
          <w:color w:val="auto"/>
          <w:sz w:val="28"/>
          <w:szCs w:val="28"/>
          <w:lang w:eastAsia="zh-CN"/>
        </w:rPr>
        <w:t>号</w:t>
      </w:r>
      <w:r>
        <w:rPr>
          <w:rFonts w:hint="default" w:ascii="仿宋" w:hAnsi="仿宋" w:eastAsia="仿宋" w:cs="宋体"/>
          <w:b w:val="0"/>
          <w:bCs/>
          <w:color w:val="auto"/>
          <w:sz w:val="28"/>
          <w:szCs w:val="28"/>
          <w:lang w:eastAsia="zh-CN"/>
        </w:rPr>
        <w:t>]</w:t>
      </w:r>
      <w:r>
        <w:rPr>
          <w:rFonts w:hint="eastAsia" w:ascii="仿宋" w:hAnsi="仿宋" w:eastAsia="仿宋" w:cs="宋体"/>
          <w:b w:val="0"/>
          <w:bCs/>
          <w:color w:val="auto"/>
          <w:sz w:val="28"/>
          <w:szCs w:val="28"/>
          <w:lang w:eastAsia="zh-CN"/>
        </w:rPr>
        <w:t>，</w:t>
      </w:r>
      <w:r>
        <w:rPr>
          <w:rFonts w:hint="eastAsia" w:ascii="仿宋" w:hAnsi="仿宋" w:eastAsia="仿宋" w:cs="宋体"/>
          <w:b w:val="0"/>
          <w:bCs/>
          <w:color w:val="auto"/>
          <w:sz w:val="28"/>
          <w:szCs w:val="28"/>
          <w:lang w:val="en-US" w:eastAsia="zh-CN"/>
        </w:rPr>
        <w:t>为</w:t>
      </w:r>
      <w:r>
        <w:rPr>
          <w:rFonts w:hint="default" w:ascii="仿宋" w:hAnsi="仿宋" w:eastAsia="仿宋" w:cs="宋体"/>
          <w:b w:val="0"/>
          <w:bCs/>
          <w:color w:val="auto"/>
          <w:sz w:val="28"/>
          <w:szCs w:val="28"/>
          <w:lang w:eastAsia="zh-CN"/>
        </w:rPr>
        <w:t>落实最高人民法院《关于推进破产案件依法高效审理的意见》的有关精神，提高破产</w:t>
      </w:r>
      <w:r>
        <w:rPr>
          <w:rFonts w:hint="eastAsia" w:ascii="仿宋" w:hAnsi="仿宋" w:eastAsia="仿宋" w:cs="宋体"/>
          <w:b w:val="0"/>
          <w:bCs/>
          <w:color w:val="auto"/>
          <w:sz w:val="28"/>
          <w:szCs w:val="28"/>
          <w:lang w:val="en-US" w:eastAsia="zh-CN"/>
        </w:rPr>
        <w:t>案件</w:t>
      </w:r>
      <w:r>
        <w:rPr>
          <w:rFonts w:hint="default" w:ascii="仿宋" w:hAnsi="仿宋" w:eastAsia="仿宋" w:cs="宋体"/>
          <w:b w:val="0"/>
          <w:bCs/>
          <w:color w:val="auto"/>
          <w:sz w:val="28"/>
          <w:szCs w:val="28"/>
          <w:lang w:eastAsia="zh-CN"/>
        </w:rPr>
        <w:t>办理效率、提高债权人会议召开及表决效率</w:t>
      </w:r>
      <w:r>
        <w:rPr>
          <w:rFonts w:hint="eastAsia" w:ascii="仿宋" w:hAnsi="仿宋" w:eastAsia="仿宋" w:cs="宋体"/>
          <w:b w:val="0"/>
          <w:bCs/>
          <w:color w:val="auto"/>
          <w:sz w:val="28"/>
          <w:szCs w:val="28"/>
          <w:lang w:eastAsia="zh-CN"/>
        </w:rPr>
        <w:t>、降低破产程序成本</w:t>
      </w:r>
      <w:r>
        <w:rPr>
          <w:rFonts w:hint="default" w:ascii="仿宋" w:hAnsi="仿宋" w:eastAsia="仿宋" w:cs="宋体"/>
          <w:b w:val="0"/>
          <w:bCs/>
          <w:color w:val="auto"/>
          <w:sz w:val="28"/>
          <w:szCs w:val="28"/>
          <w:lang w:eastAsia="zh-CN"/>
        </w:rPr>
        <w:t>，</w:t>
      </w:r>
      <w:r>
        <w:rPr>
          <w:rFonts w:hint="default" w:ascii="仿宋" w:hAnsi="仿宋" w:eastAsia="仿宋" w:cs="宋体"/>
          <w:b w:val="0"/>
          <w:bCs/>
          <w:color w:val="auto"/>
          <w:sz w:val="28"/>
          <w:szCs w:val="28"/>
          <w:lang w:val="en-US" w:eastAsia="zh-CN"/>
        </w:rPr>
        <w:t>根据《民法典》第</w:t>
      </w:r>
      <w:r>
        <w:rPr>
          <w:rFonts w:hint="eastAsia" w:ascii="仿宋" w:hAnsi="仿宋" w:eastAsia="仿宋" w:cs="宋体"/>
          <w:b w:val="0"/>
          <w:bCs/>
          <w:color w:val="auto"/>
          <w:sz w:val="28"/>
          <w:szCs w:val="28"/>
          <w:lang w:val="en-US" w:eastAsia="zh-CN"/>
        </w:rPr>
        <w:t>一百四十条的规定，</w:t>
      </w:r>
      <w:r>
        <w:rPr>
          <w:rFonts w:hint="default" w:ascii="仿宋" w:hAnsi="仿宋" w:eastAsia="仿宋" w:cs="宋体"/>
          <w:b w:val="0"/>
          <w:bCs/>
          <w:color w:val="auto"/>
          <w:sz w:val="28"/>
          <w:szCs w:val="28"/>
          <w:lang w:eastAsia="zh-CN"/>
        </w:rPr>
        <w:t>我方</w:t>
      </w:r>
      <w:r>
        <w:rPr>
          <w:rFonts w:hint="default" w:ascii="仿宋" w:hAnsi="仿宋" w:eastAsia="仿宋" w:cs="宋体"/>
          <w:b w:val="0"/>
          <w:bCs/>
          <w:color w:val="auto"/>
          <w:sz w:val="28"/>
          <w:szCs w:val="28"/>
          <w:u w:val="single"/>
          <w:lang w:eastAsia="zh-CN"/>
        </w:rPr>
        <w:t xml:space="preserve">                         </w:t>
      </w:r>
      <w:r>
        <w:rPr>
          <w:rFonts w:hint="eastAsia" w:ascii="仿宋" w:hAnsi="仿宋" w:eastAsia="仿宋" w:cs="宋体"/>
          <w:b w:val="0"/>
          <w:bCs/>
          <w:color w:val="auto"/>
          <w:sz w:val="28"/>
          <w:szCs w:val="28"/>
          <w:u w:val="single"/>
          <w:lang w:val="en-US" w:eastAsia="zh-CN"/>
        </w:rPr>
        <w:t xml:space="preserve">     </w:t>
      </w:r>
      <w:r>
        <w:rPr>
          <w:rFonts w:hint="default" w:ascii="仿宋" w:hAnsi="仿宋" w:eastAsia="仿宋" w:cs="宋体"/>
          <w:b w:val="0"/>
          <w:bCs/>
          <w:color w:val="auto"/>
          <w:sz w:val="28"/>
          <w:szCs w:val="28"/>
          <w:u w:val="single"/>
          <w:lang w:eastAsia="zh-CN"/>
        </w:rPr>
        <w:t xml:space="preserve"> </w:t>
      </w:r>
      <w:r>
        <w:rPr>
          <w:rFonts w:hint="default" w:ascii="仿宋" w:hAnsi="仿宋" w:eastAsia="仿宋" w:cs="宋体"/>
          <w:b w:val="0"/>
          <w:bCs/>
          <w:color w:val="auto"/>
          <w:sz w:val="28"/>
          <w:szCs w:val="28"/>
          <w:lang w:eastAsia="zh-CN"/>
        </w:rPr>
        <w:t>（债权人名称）</w:t>
      </w:r>
      <w:r>
        <w:rPr>
          <w:rFonts w:hint="eastAsia" w:ascii="仿宋" w:hAnsi="仿宋" w:eastAsia="仿宋" w:cs="宋体"/>
          <w:b w:val="0"/>
          <w:bCs/>
          <w:color w:val="auto"/>
          <w:sz w:val="28"/>
          <w:szCs w:val="28"/>
          <w:lang w:val="en-US" w:eastAsia="zh-CN"/>
        </w:rPr>
        <w:t>同意在本案中适用默示推定意思表示规则：若我方未按期对债权人会议核查或表决事项提出书面异议或未按期交回表决票的，则视为我方同意相关事项。</w:t>
      </w:r>
    </w:p>
    <w:p w14:paraId="753FB8EF">
      <w:pPr>
        <w:spacing w:line="700" w:lineRule="exact"/>
        <w:ind w:firstLine="560" w:firstLineChars="200"/>
        <w:rPr>
          <w:rFonts w:hint="default" w:ascii="仿宋" w:hAnsi="仿宋" w:eastAsia="仿宋" w:cs="宋体"/>
          <w:b w:val="0"/>
          <w:bCs/>
          <w:color w:val="auto"/>
          <w:sz w:val="28"/>
          <w:szCs w:val="28"/>
          <w:lang w:eastAsia="zh-CN"/>
        </w:rPr>
      </w:pPr>
      <w:r>
        <w:rPr>
          <w:rFonts w:hint="default" w:ascii="仿宋" w:hAnsi="仿宋" w:eastAsia="仿宋" w:cs="宋体"/>
          <w:b w:val="0"/>
          <w:bCs/>
          <w:color w:val="auto"/>
          <w:sz w:val="28"/>
          <w:szCs w:val="28"/>
          <w:lang w:eastAsia="zh-CN"/>
        </w:rPr>
        <w:t>特此确认。</w:t>
      </w:r>
      <w:bookmarkStart w:id="0" w:name="_GoBack"/>
      <w:bookmarkEnd w:id="0"/>
    </w:p>
    <w:p w14:paraId="56DDC867">
      <w:pPr>
        <w:spacing w:line="700" w:lineRule="exact"/>
        <w:ind w:firstLine="560" w:firstLineChars="200"/>
        <w:jc w:val="left"/>
        <w:rPr>
          <w:rFonts w:ascii="仿宋" w:hAnsi="仿宋" w:eastAsia="仿宋" w:cs="宋体"/>
          <w:color w:val="auto"/>
          <w:sz w:val="28"/>
          <w:szCs w:val="28"/>
        </w:rPr>
      </w:pPr>
    </w:p>
    <w:p w14:paraId="18A94567">
      <w:pPr>
        <w:spacing w:line="700" w:lineRule="exact"/>
        <w:jc w:val="center"/>
        <w:rPr>
          <w:rFonts w:ascii="仿宋" w:hAnsi="仿宋" w:eastAsia="仿宋" w:cs="宋体"/>
          <w:color w:val="auto"/>
          <w:sz w:val="28"/>
          <w:szCs w:val="28"/>
        </w:rPr>
      </w:pPr>
      <w:r>
        <w:rPr>
          <w:rFonts w:hint="eastAsia" w:ascii="仿宋" w:hAnsi="仿宋" w:eastAsia="仿宋" w:cs="宋体"/>
          <w:color w:val="auto"/>
          <w:sz w:val="28"/>
          <w:szCs w:val="28"/>
        </w:rPr>
        <w:t xml:space="preserve">                       债权人：</w:t>
      </w:r>
    </w:p>
    <w:p w14:paraId="35B3CEF5">
      <w:pPr>
        <w:spacing w:line="700" w:lineRule="exact"/>
        <w:jc w:val="center"/>
        <w:rPr>
          <w:rFonts w:ascii="仿宋" w:hAnsi="仿宋" w:eastAsia="仿宋" w:cs="宋体"/>
          <w:color w:val="auto"/>
          <w:sz w:val="28"/>
          <w:szCs w:val="28"/>
        </w:rPr>
      </w:pPr>
      <w:r>
        <w:rPr>
          <w:rFonts w:hint="eastAsia" w:ascii="仿宋" w:hAnsi="仿宋" w:eastAsia="仿宋" w:cs="宋体"/>
          <w:color w:val="auto"/>
          <w:sz w:val="28"/>
          <w:szCs w:val="28"/>
        </w:rPr>
        <w:t xml:space="preserve">                           （签名、签章）</w:t>
      </w:r>
    </w:p>
    <w:p w14:paraId="0ECE5DBC">
      <w:pPr>
        <w:spacing w:line="700" w:lineRule="exact"/>
        <w:ind w:firstLine="6020" w:firstLineChars="2150"/>
        <w:jc w:val="right"/>
        <w:rPr>
          <w:rFonts w:ascii="仿宋" w:hAnsi="仿宋" w:eastAsia="仿宋" w:cs="宋体"/>
          <w:color w:val="auto"/>
          <w:sz w:val="28"/>
          <w:szCs w:val="28"/>
        </w:rPr>
      </w:pPr>
      <w:r>
        <w:rPr>
          <w:rFonts w:hint="eastAsia" w:ascii="仿宋" w:hAnsi="仿宋" w:eastAsia="仿宋" w:cs="宋体"/>
          <w:color w:val="auto"/>
          <w:sz w:val="28"/>
          <w:szCs w:val="28"/>
        </w:rPr>
        <w:t>年   月   日</w:t>
      </w:r>
    </w:p>
    <w:p w14:paraId="18A910B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仿宋" w:hAnsi="仿宋" w:eastAsia="仿宋" w:cs="Times New Roman"/>
          <w:snapToGrid/>
          <w:color w:val="232323"/>
          <w:kern w:val="0"/>
          <w:sz w:val="24"/>
          <w:szCs w:val="24"/>
        </w:rPr>
      </w:pPr>
    </w:p>
    <w:p w14:paraId="5EDA71A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 w:hAnsi="仿宋" w:eastAsia="仿宋" w:cs="Times New Roman"/>
          <w:snapToGrid/>
          <w:color w:val="232323"/>
          <w:kern w:val="0"/>
          <w:sz w:val="24"/>
          <w:szCs w:val="24"/>
        </w:rPr>
      </w:pPr>
      <w:r>
        <w:rPr>
          <w:rFonts w:hint="default" w:ascii="仿宋" w:hAnsi="仿宋" w:eastAsia="仿宋" w:cs="Times New Roman"/>
          <w:b w:val="0"/>
          <w:bCs w:val="0"/>
          <w:snapToGrid/>
          <w:color w:val="232323"/>
          <w:kern w:val="0"/>
          <w:sz w:val="24"/>
          <w:szCs w:val="24"/>
        </w:rPr>
        <w:t>说明</w:t>
      </w:r>
      <w:r>
        <w:rPr>
          <w:rFonts w:hint="default" w:ascii="仿宋" w:hAnsi="仿宋" w:eastAsia="仿宋" w:cs="Times New Roman"/>
          <w:snapToGrid/>
          <w:color w:val="232323"/>
          <w:kern w:val="0"/>
          <w:sz w:val="24"/>
          <w:szCs w:val="24"/>
        </w:rPr>
        <w:t>：</w:t>
      </w:r>
    </w:p>
    <w:p w14:paraId="05CFB59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仿宋" w:hAnsi="仿宋" w:eastAsia="仿宋" w:cs="Times New Roman"/>
          <w:snapToGrid/>
          <w:color w:val="232323"/>
          <w:kern w:val="0"/>
          <w:sz w:val="24"/>
          <w:szCs w:val="24"/>
        </w:rPr>
      </w:pPr>
      <w:r>
        <w:rPr>
          <w:rFonts w:hint="default" w:ascii="仿宋" w:hAnsi="仿宋" w:eastAsia="仿宋" w:cs="Times New Roman"/>
          <w:snapToGrid/>
          <w:color w:val="232323"/>
          <w:kern w:val="0"/>
          <w:sz w:val="24"/>
          <w:szCs w:val="24"/>
        </w:rPr>
        <w:t>1、如债权人是个人的，则需本人签名并按指模；如债权人是机构的，则需法定代表人/负责人签名并盖公章。</w:t>
      </w:r>
    </w:p>
    <w:p w14:paraId="71C47EF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pPr>
      <w:r>
        <w:rPr>
          <w:rFonts w:hint="default" w:ascii="仿宋" w:hAnsi="仿宋" w:eastAsia="仿宋" w:cs="Times New Roman"/>
          <w:snapToGrid/>
          <w:color w:val="232323"/>
          <w:kern w:val="0"/>
          <w:sz w:val="24"/>
          <w:szCs w:val="24"/>
        </w:rPr>
        <w:t>2、</w:t>
      </w:r>
      <w:r>
        <w:rPr>
          <w:rFonts w:hint="eastAsia" w:ascii="仿宋" w:hAnsi="仿宋" w:eastAsia="仿宋" w:cs="Times New Roman"/>
          <w:snapToGrid/>
          <w:color w:val="232323"/>
          <w:kern w:val="0"/>
          <w:sz w:val="24"/>
          <w:szCs w:val="24"/>
          <w:lang w:val="en-US" w:eastAsia="zh-CN"/>
        </w:rPr>
        <w:t>债权人如同意适用上述规则的，请于申报债权时一并</w:t>
      </w:r>
      <w:r>
        <w:rPr>
          <w:rFonts w:hint="default" w:ascii="仿宋" w:hAnsi="仿宋" w:eastAsia="仿宋" w:cs="Times New Roman"/>
          <w:snapToGrid/>
          <w:color w:val="232323"/>
          <w:kern w:val="0"/>
          <w:sz w:val="24"/>
          <w:szCs w:val="24"/>
        </w:rPr>
        <w:t>向管理人</w:t>
      </w:r>
      <w:r>
        <w:rPr>
          <w:rFonts w:hint="eastAsia" w:ascii="仿宋" w:hAnsi="仿宋" w:eastAsia="仿宋" w:cs="Times New Roman"/>
          <w:snapToGrid/>
          <w:color w:val="232323"/>
          <w:kern w:val="0"/>
          <w:sz w:val="24"/>
          <w:szCs w:val="24"/>
          <w:lang w:val="en-US" w:eastAsia="zh-CN"/>
        </w:rPr>
        <w:t>提交</w:t>
      </w:r>
      <w:r>
        <w:rPr>
          <w:rFonts w:hint="eastAsia" w:ascii="仿宋" w:hAnsi="仿宋" w:eastAsia="仿宋" w:cs="Times New Roman"/>
          <w:snapToGrid/>
          <w:color w:val="232323"/>
          <w:kern w:val="0"/>
          <w:sz w:val="24"/>
          <w:szCs w:val="24"/>
          <w:lang w:eastAsia="zh-CN"/>
        </w:rPr>
        <w:t>。</w:t>
      </w:r>
    </w:p>
    <w:sectPr>
      <w:headerReference r:id="rId3" w:type="default"/>
      <w:pgSz w:w="11906" w:h="16839"/>
      <w:pgMar w:top="1440" w:right="1803" w:bottom="1440" w:left="1803" w:header="850" w:footer="992"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7C22B">
    <w:pPr>
      <w:pStyle w:val="4"/>
      <w:pBdr>
        <w:bottom w:val="single" w:color="auto" w:sz="4" w:space="1"/>
      </w:pBdr>
      <w:rPr>
        <w:rFonts w:hint="eastAsia" w:ascii="仿宋" w:hAnsi="仿宋" w:eastAsia="仿宋"/>
        <w:b w:val="0"/>
        <w:bCs w:val="0"/>
        <w:color w:val="auto"/>
        <w:sz w:val="18"/>
        <w:szCs w:val="18"/>
        <w:lang w:val="en-US" w:eastAsia="zh-CN"/>
      </w:rPr>
    </w:pPr>
    <w:r>
      <w:rPr>
        <w:rFonts w:hint="default" w:ascii="仿宋" w:hAnsi="仿宋" w:eastAsia="仿宋"/>
        <w:b w:val="0"/>
        <w:bCs w:val="0"/>
        <w:color w:val="auto"/>
        <w:sz w:val="18"/>
        <w:szCs w:val="18"/>
        <w:lang w:val="en-US" w:eastAsia="zh-CN"/>
      </w:rPr>
      <w:t>（2026）粤1971破14号</w:t>
    </w:r>
    <w:r>
      <w:rPr>
        <w:rFonts w:hint="eastAsia" w:ascii="仿宋" w:hAnsi="仿宋" w:eastAsia="仿宋"/>
        <w:b w:val="0"/>
        <w:bCs w:val="0"/>
        <w:color w:val="auto"/>
        <w:sz w:val="18"/>
        <w:szCs w:val="18"/>
        <w:lang w:eastAsia="zh-CN"/>
      </w:rPr>
      <w:t>东莞聚隆全屋定制家居设计有限公司破产清算案债权申报材料   附件</w:t>
    </w:r>
    <w:r>
      <w:rPr>
        <w:rFonts w:hint="eastAsia" w:ascii="仿宋" w:hAnsi="仿宋" w:eastAsia="仿宋"/>
        <w:b w:val="0"/>
        <w:bCs w:val="0"/>
        <w:color w:val="auto"/>
        <w:sz w:val="18"/>
        <w:szCs w:val="18"/>
        <w:lang w:val="en-US" w:eastAsia="zh-CN"/>
      </w:rPr>
      <w:t>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kNWM0MjA2YzViZWJhNzdhMTM5NTQ4YTAxZDIzY2YifQ=="/>
  </w:docVars>
  <w:rsids>
    <w:rsidRoot w:val="00172A27"/>
    <w:rsid w:val="00005220"/>
    <w:rsid w:val="000210AC"/>
    <w:rsid w:val="00021759"/>
    <w:rsid w:val="00023613"/>
    <w:rsid w:val="00052B2A"/>
    <w:rsid w:val="00060B79"/>
    <w:rsid w:val="000C2248"/>
    <w:rsid w:val="000D392C"/>
    <w:rsid w:val="000D6862"/>
    <w:rsid w:val="00100225"/>
    <w:rsid w:val="0010624C"/>
    <w:rsid w:val="00115F07"/>
    <w:rsid w:val="001236F2"/>
    <w:rsid w:val="001353E5"/>
    <w:rsid w:val="00172A27"/>
    <w:rsid w:val="001B4AB7"/>
    <w:rsid w:val="001D0C8C"/>
    <w:rsid w:val="001D5BC1"/>
    <w:rsid w:val="00223709"/>
    <w:rsid w:val="0022642B"/>
    <w:rsid w:val="0025471E"/>
    <w:rsid w:val="002563BF"/>
    <w:rsid w:val="0025648A"/>
    <w:rsid w:val="002808C2"/>
    <w:rsid w:val="002B14E3"/>
    <w:rsid w:val="002D0D07"/>
    <w:rsid w:val="002D4C81"/>
    <w:rsid w:val="00315C55"/>
    <w:rsid w:val="00324436"/>
    <w:rsid w:val="0035239C"/>
    <w:rsid w:val="00396933"/>
    <w:rsid w:val="003A7536"/>
    <w:rsid w:val="003D23A3"/>
    <w:rsid w:val="003E39F9"/>
    <w:rsid w:val="003F3B9D"/>
    <w:rsid w:val="004018FE"/>
    <w:rsid w:val="00422599"/>
    <w:rsid w:val="004436A4"/>
    <w:rsid w:val="00445811"/>
    <w:rsid w:val="0045168C"/>
    <w:rsid w:val="004852F3"/>
    <w:rsid w:val="004A4874"/>
    <w:rsid w:val="004C4756"/>
    <w:rsid w:val="004C736A"/>
    <w:rsid w:val="004D1485"/>
    <w:rsid w:val="004F0822"/>
    <w:rsid w:val="00501E59"/>
    <w:rsid w:val="00506010"/>
    <w:rsid w:val="0051115D"/>
    <w:rsid w:val="00520309"/>
    <w:rsid w:val="005348DD"/>
    <w:rsid w:val="00563EEA"/>
    <w:rsid w:val="0057222B"/>
    <w:rsid w:val="005B5BB7"/>
    <w:rsid w:val="00635A41"/>
    <w:rsid w:val="00640033"/>
    <w:rsid w:val="006A2169"/>
    <w:rsid w:val="006C5454"/>
    <w:rsid w:val="006D7705"/>
    <w:rsid w:val="007403FA"/>
    <w:rsid w:val="00754082"/>
    <w:rsid w:val="0075464A"/>
    <w:rsid w:val="0077244A"/>
    <w:rsid w:val="00784F4E"/>
    <w:rsid w:val="00795F69"/>
    <w:rsid w:val="007D5D98"/>
    <w:rsid w:val="007F766B"/>
    <w:rsid w:val="00823B43"/>
    <w:rsid w:val="00885644"/>
    <w:rsid w:val="00892A8F"/>
    <w:rsid w:val="008932A9"/>
    <w:rsid w:val="008A2995"/>
    <w:rsid w:val="008B6FB7"/>
    <w:rsid w:val="008B7E8F"/>
    <w:rsid w:val="008D12AE"/>
    <w:rsid w:val="008F2C33"/>
    <w:rsid w:val="009221DC"/>
    <w:rsid w:val="00930AEE"/>
    <w:rsid w:val="00935ADC"/>
    <w:rsid w:val="0095200A"/>
    <w:rsid w:val="00971846"/>
    <w:rsid w:val="009A401B"/>
    <w:rsid w:val="009A4DD8"/>
    <w:rsid w:val="009E3422"/>
    <w:rsid w:val="009E5AB6"/>
    <w:rsid w:val="00A16E43"/>
    <w:rsid w:val="00A224BC"/>
    <w:rsid w:val="00A35252"/>
    <w:rsid w:val="00A474EC"/>
    <w:rsid w:val="00A535B7"/>
    <w:rsid w:val="00A54ED4"/>
    <w:rsid w:val="00AA5C93"/>
    <w:rsid w:val="00AB45E7"/>
    <w:rsid w:val="00AC42B2"/>
    <w:rsid w:val="00AD68ED"/>
    <w:rsid w:val="00B113F0"/>
    <w:rsid w:val="00B26649"/>
    <w:rsid w:val="00B3018E"/>
    <w:rsid w:val="00B36412"/>
    <w:rsid w:val="00B4629B"/>
    <w:rsid w:val="00B71E6E"/>
    <w:rsid w:val="00B85594"/>
    <w:rsid w:val="00B92F4F"/>
    <w:rsid w:val="00B95D58"/>
    <w:rsid w:val="00B97418"/>
    <w:rsid w:val="00BB46E2"/>
    <w:rsid w:val="00BE6999"/>
    <w:rsid w:val="00C17522"/>
    <w:rsid w:val="00C17D67"/>
    <w:rsid w:val="00C73020"/>
    <w:rsid w:val="00C82623"/>
    <w:rsid w:val="00CC03D5"/>
    <w:rsid w:val="00CE3A80"/>
    <w:rsid w:val="00CE5ED7"/>
    <w:rsid w:val="00CE6521"/>
    <w:rsid w:val="00D148D5"/>
    <w:rsid w:val="00D1494C"/>
    <w:rsid w:val="00D16731"/>
    <w:rsid w:val="00D568E6"/>
    <w:rsid w:val="00D62C67"/>
    <w:rsid w:val="00DE2F95"/>
    <w:rsid w:val="00DF6912"/>
    <w:rsid w:val="00E13AEA"/>
    <w:rsid w:val="00E23F7A"/>
    <w:rsid w:val="00E671E4"/>
    <w:rsid w:val="00E912C6"/>
    <w:rsid w:val="00E96501"/>
    <w:rsid w:val="00EB74D5"/>
    <w:rsid w:val="00ED007E"/>
    <w:rsid w:val="00EE4923"/>
    <w:rsid w:val="00EF6BA9"/>
    <w:rsid w:val="00F15AF4"/>
    <w:rsid w:val="00F21D3F"/>
    <w:rsid w:val="00F324F0"/>
    <w:rsid w:val="00F3486A"/>
    <w:rsid w:val="00F63F37"/>
    <w:rsid w:val="00FB73A1"/>
    <w:rsid w:val="00FC5238"/>
    <w:rsid w:val="00FC7028"/>
    <w:rsid w:val="00FD422D"/>
    <w:rsid w:val="00FE031C"/>
    <w:rsid w:val="00FE25A5"/>
    <w:rsid w:val="115D2BD1"/>
    <w:rsid w:val="269503ED"/>
    <w:rsid w:val="29155137"/>
    <w:rsid w:val="2F660650"/>
    <w:rsid w:val="31E64F45"/>
    <w:rsid w:val="3E430DAC"/>
    <w:rsid w:val="40C72587"/>
    <w:rsid w:val="481C37A7"/>
    <w:rsid w:val="4B4D6A5E"/>
    <w:rsid w:val="4F21008E"/>
    <w:rsid w:val="548322E4"/>
    <w:rsid w:val="5FF1FE83"/>
    <w:rsid w:val="66041329"/>
    <w:rsid w:val="6B650E43"/>
    <w:rsid w:val="734E24D3"/>
    <w:rsid w:val="97BF9645"/>
    <w:rsid w:val="BB2B1884"/>
    <w:rsid w:val="DEE7C40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8"/>
    <w:autoRedefine/>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autoRedefine/>
    <w:qFormat/>
    <w:uiPriority w:val="0"/>
  </w:style>
  <w:style w:type="character" w:customStyle="1" w:styleId="8">
    <w:name w:val="页脚 字符"/>
    <w:link w:val="3"/>
    <w:autoRedefine/>
    <w:qFormat/>
    <w:uiPriority w:val="99"/>
    <w:rPr>
      <w:kern w:val="2"/>
      <w:sz w:val="18"/>
      <w:szCs w:val="24"/>
    </w:rPr>
  </w:style>
  <w:style w:type="character" w:customStyle="1" w:styleId="9">
    <w:name w:val="批注框文本 字符"/>
    <w:link w:val="2"/>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1</Pages>
  <Words>332</Words>
  <Characters>338</Characters>
  <Lines>8</Lines>
  <Paragraphs>2</Paragraphs>
  <TotalTime>0</TotalTime>
  <ScaleCrop>false</ScaleCrop>
  <LinksUpToDate>false</LinksUpToDate>
  <CharactersWithSpaces>425</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2018-12-19T18:56:00Z</dcterms:created>
  <dc:creator>fengzhiyunduan</dc:creator>
  <cp:lastModifiedBy>℘</cp:lastModifiedBy>
  <cp:lastPrinted>2013-06-30T19:25:00Z</cp:lastPrinted>
  <dcterms:modified xsi:type="dcterms:W3CDTF">2026-02-11T02:30:18Z</dcterms:modified>
  <dc:title>债 权 申 报 表</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5732B8403C76E76D1A798B699ADEEF55_43</vt:lpwstr>
  </property>
  <property fmtid="{D5CDD505-2E9C-101B-9397-08002B2CF9AE}" pid="4" name="KSOTemplateDocerSaveRecord">
    <vt:lpwstr>eyJoZGlkIjoiZmU3MTBkNGUwODk1MDYzOWJkMjViYTU0NTA0YWQ3ZGIiLCJ1c2VySWQiOiIzNzg2MTM5NzMifQ==</vt:lpwstr>
  </property>
</Properties>
</file>