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B6F4EA">
      <w:pPr>
        <w:wordWrap w:val="0"/>
        <w:overflowPunct w:val="0"/>
        <w:adjustRightInd w:val="0"/>
        <w:snapToGrid w:val="0"/>
        <w:spacing w:line="520" w:lineRule="exact"/>
        <w:rPr>
          <w:rFonts w:ascii="Times New Roman Regular" w:hAnsi="Times New Roman Regular" w:eastAsia="仿宋_GB2312" w:cs="Times New Roman Regular"/>
          <w:sz w:val="28"/>
          <w:szCs w:val="28"/>
        </w:rPr>
      </w:pPr>
      <w:r>
        <w:rPr>
          <w:rFonts w:hint="eastAsia" w:ascii="Times New Roman Regular" w:hAnsi="Times New Roman Regular" w:eastAsia="仿宋_GB2312" w:cs="Times New Roman Regular"/>
          <w:sz w:val="28"/>
          <w:szCs w:val="28"/>
        </w:rPr>
        <w:t>附件一：</w:t>
      </w:r>
    </w:p>
    <w:p w14:paraId="5CDE9B6F">
      <w:pPr>
        <w:wordWrap w:val="0"/>
        <w:topLinePunct/>
        <w:spacing w:line="48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四川中南明大置业投资有限公司破产清算案</w:t>
      </w:r>
    </w:p>
    <w:p w14:paraId="62FDD6C6">
      <w:pPr>
        <w:wordWrap w:val="0"/>
        <w:topLinePunct/>
        <w:spacing w:line="48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参选拍卖辅助机构报名表</w:t>
      </w:r>
    </w:p>
    <w:p w14:paraId="3F2567E2">
      <w:pPr>
        <w:wordWrap w:val="0"/>
        <w:topLinePunct/>
        <w:spacing w:line="480" w:lineRule="exact"/>
        <w:rPr>
          <w:b/>
          <w:bCs/>
          <w:sz w:val="32"/>
          <w:szCs w:val="32"/>
        </w:rPr>
      </w:pPr>
    </w:p>
    <w:tbl>
      <w:tblPr>
        <w:tblStyle w:val="5"/>
        <w:tblW w:w="8646" w:type="dxa"/>
        <w:tblInd w:w="-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7"/>
        <w:gridCol w:w="1350"/>
        <w:gridCol w:w="797"/>
        <w:gridCol w:w="1622"/>
        <w:gridCol w:w="997"/>
        <w:gridCol w:w="1713"/>
      </w:tblGrid>
      <w:tr w14:paraId="7BE7782E">
        <w:tc>
          <w:tcPr>
            <w:tcW w:w="2167" w:type="dxa"/>
          </w:tcPr>
          <w:p w14:paraId="190F2FE8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参选机构名称</w:t>
            </w:r>
          </w:p>
        </w:tc>
        <w:tc>
          <w:tcPr>
            <w:tcW w:w="6479" w:type="dxa"/>
            <w:gridSpan w:val="5"/>
          </w:tcPr>
          <w:p w14:paraId="76AD92D9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 w14:paraId="0BF460E2">
        <w:tc>
          <w:tcPr>
            <w:tcW w:w="2167" w:type="dxa"/>
          </w:tcPr>
          <w:p w14:paraId="79FA6562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住所地</w:t>
            </w:r>
          </w:p>
        </w:tc>
        <w:tc>
          <w:tcPr>
            <w:tcW w:w="6479" w:type="dxa"/>
            <w:gridSpan w:val="5"/>
          </w:tcPr>
          <w:p w14:paraId="1610575E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 w14:paraId="49498BCF">
        <w:tc>
          <w:tcPr>
            <w:tcW w:w="2167" w:type="dxa"/>
          </w:tcPr>
          <w:p w14:paraId="39356644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统一社会信用代码</w:t>
            </w:r>
          </w:p>
        </w:tc>
        <w:tc>
          <w:tcPr>
            <w:tcW w:w="2147" w:type="dxa"/>
            <w:gridSpan w:val="2"/>
          </w:tcPr>
          <w:p w14:paraId="50A0FFF7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622" w:type="dxa"/>
          </w:tcPr>
          <w:p w14:paraId="4B888896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法定代表人</w:t>
            </w:r>
          </w:p>
        </w:tc>
        <w:tc>
          <w:tcPr>
            <w:tcW w:w="2710" w:type="dxa"/>
            <w:gridSpan w:val="2"/>
          </w:tcPr>
          <w:p w14:paraId="4FECC4DF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 w14:paraId="365D0E28">
        <w:tc>
          <w:tcPr>
            <w:tcW w:w="2167" w:type="dxa"/>
          </w:tcPr>
          <w:p w14:paraId="25855426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成立时间</w:t>
            </w:r>
          </w:p>
        </w:tc>
        <w:tc>
          <w:tcPr>
            <w:tcW w:w="2147" w:type="dxa"/>
            <w:gridSpan w:val="2"/>
          </w:tcPr>
          <w:p w14:paraId="06FA0861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1622" w:type="dxa"/>
          </w:tcPr>
          <w:p w14:paraId="41202B28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注册资本</w:t>
            </w:r>
          </w:p>
        </w:tc>
        <w:tc>
          <w:tcPr>
            <w:tcW w:w="2710" w:type="dxa"/>
            <w:gridSpan w:val="2"/>
          </w:tcPr>
          <w:p w14:paraId="0A248709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 w14:paraId="7A486720">
        <w:tc>
          <w:tcPr>
            <w:tcW w:w="2167" w:type="dxa"/>
          </w:tcPr>
          <w:p w14:paraId="2AF4DC9D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项目负责人</w:t>
            </w:r>
          </w:p>
        </w:tc>
        <w:tc>
          <w:tcPr>
            <w:tcW w:w="1350" w:type="dxa"/>
          </w:tcPr>
          <w:p w14:paraId="0EC042D6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797" w:type="dxa"/>
          </w:tcPr>
          <w:p w14:paraId="00D0D061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电话</w:t>
            </w:r>
          </w:p>
        </w:tc>
        <w:tc>
          <w:tcPr>
            <w:tcW w:w="1622" w:type="dxa"/>
          </w:tcPr>
          <w:p w14:paraId="65D6DB66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997" w:type="dxa"/>
          </w:tcPr>
          <w:p w14:paraId="7EABC0CD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邮箱</w:t>
            </w:r>
          </w:p>
        </w:tc>
        <w:tc>
          <w:tcPr>
            <w:tcW w:w="1713" w:type="dxa"/>
          </w:tcPr>
          <w:p w14:paraId="1E108198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 w14:paraId="768C732A">
        <w:tc>
          <w:tcPr>
            <w:tcW w:w="2167" w:type="dxa"/>
          </w:tcPr>
          <w:p w14:paraId="46A93EB2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项目联系人</w:t>
            </w:r>
          </w:p>
        </w:tc>
        <w:tc>
          <w:tcPr>
            <w:tcW w:w="1350" w:type="dxa"/>
          </w:tcPr>
          <w:p w14:paraId="65D7071B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797" w:type="dxa"/>
          </w:tcPr>
          <w:p w14:paraId="05388BDA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电话</w:t>
            </w:r>
          </w:p>
        </w:tc>
        <w:tc>
          <w:tcPr>
            <w:tcW w:w="1622" w:type="dxa"/>
          </w:tcPr>
          <w:p w14:paraId="6559D307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</w:p>
        </w:tc>
        <w:tc>
          <w:tcPr>
            <w:tcW w:w="997" w:type="dxa"/>
          </w:tcPr>
          <w:p w14:paraId="4201B385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邮箱</w:t>
            </w:r>
          </w:p>
        </w:tc>
        <w:tc>
          <w:tcPr>
            <w:tcW w:w="1713" w:type="dxa"/>
          </w:tcPr>
          <w:p w14:paraId="5650D872">
            <w:pPr>
              <w:wordWrap w:val="0"/>
              <w:topLinePunct/>
              <w:spacing w:line="480" w:lineRule="exact"/>
              <w:jc w:val="center"/>
              <w:rPr>
                <w:rFonts w:ascii="华文仿宋" w:hAnsi="华文仿宋" w:eastAsia="华文仿宋" w:cs="华文仿宋"/>
              </w:rPr>
            </w:pPr>
          </w:p>
        </w:tc>
      </w:tr>
      <w:tr w14:paraId="49A690AB">
        <w:tc>
          <w:tcPr>
            <w:tcW w:w="8646" w:type="dxa"/>
            <w:gridSpan w:val="6"/>
          </w:tcPr>
          <w:p w14:paraId="052B05BA">
            <w:pPr>
              <w:wordWrap w:val="0"/>
              <w:topLinePunct/>
              <w:spacing w:line="480" w:lineRule="exact"/>
              <w:ind w:firstLine="480" w:firstLineChars="200"/>
              <w:jc w:val="left"/>
              <w:rPr>
                <w:rFonts w:ascii="华文仿宋" w:hAnsi="华文仿宋" w:eastAsia="华文仿宋" w:cs="华文仿宋"/>
              </w:rPr>
            </w:pPr>
          </w:p>
          <w:p w14:paraId="5E876099">
            <w:pPr>
              <w:wordWrap w:val="0"/>
              <w:topLinePunct/>
              <w:spacing w:line="480" w:lineRule="exact"/>
              <w:ind w:firstLine="480" w:firstLineChars="200"/>
              <w:jc w:val="left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我单位已收悉管理人登载的《</w:t>
            </w:r>
            <w:r>
              <w:rPr>
                <w:rFonts w:hint="eastAsia" w:ascii="华文仿宋" w:hAnsi="华文仿宋" w:eastAsia="华文仿宋" w:cs="华文仿宋"/>
                <w:lang w:eastAsia="zh-Hans"/>
              </w:rPr>
              <w:t>四川中南明大置业投资有限公司</w:t>
            </w:r>
            <w:r>
              <w:rPr>
                <w:rFonts w:hint="eastAsia" w:ascii="华文仿宋" w:hAnsi="华文仿宋" w:eastAsia="华文仿宋" w:cs="华文仿宋"/>
              </w:rPr>
              <w:t>管理人关于公开选聘拍卖辅助机构机构的公告》内容。经查证，我单位符合该公告规定的报名条件，且与</w:t>
            </w:r>
            <w:r>
              <w:rPr>
                <w:rFonts w:hint="eastAsia" w:ascii="华文仿宋" w:hAnsi="华文仿宋" w:eastAsia="华文仿宋" w:cs="华文仿宋"/>
                <w:lang w:eastAsia="zh-Hans"/>
              </w:rPr>
              <w:t>四川中南明大置业投资有限公司</w:t>
            </w:r>
            <w:r>
              <w:rPr>
                <w:rFonts w:hint="eastAsia" w:ascii="华文仿宋" w:hAnsi="华文仿宋" w:eastAsia="华文仿宋" w:cs="华文仿宋"/>
              </w:rPr>
              <w:t>或管理人之间不存在可能影响履职的利害关系。经研究，确认我单位参加</w:t>
            </w:r>
            <w:r>
              <w:rPr>
                <w:rFonts w:hint="eastAsia" w:ascii="华文仿宋" w:hAnsi="华文仿宋" w:eastAsia="华文仿宋" w:cs="华文仿宋"/>
                <w:lang w:eastAsia="zh-Hans"/>
              </w:rPr>
              <w:t>四川中南明大置业投资有限公司</w:t>
            </w:r>
            <w:r>
              <w:rPr>
                <w:rFonts w:hint="eastAsia" w:ascii="华文仿宋" w:hAnsi="华文仿宋" w:eastAsia="华文仿宋" w:cs="华文仿宋"/>
              </w:rPr>
              <w:t>破产清算案选聘拍卖辅助机构的竞争。</w:t>
            </w:r>
          </w:p>
          <w:p w14:paraId="0A91B7FC">
            <w:pPr>
              <w:wordWrap w:val="0"/>
              <w:topLinePunct/>
              <w:spacing w:line="480" w:lineRule="exact"/>
              <w:jc w:val="left"/>
              <w:rPr>
                <w:rFonts w:ascii="华文仿宋" w:hAnsi="华文仿宋" w:eastAsia="华文仿宋" w:cs="华文仿宋"/>
              </w:rPr>
            </w:pPr>
          </w:p>
          <w:p w14:paraId="134BEF54">
            <w:pPr>
              <w:wordWrap w:val="0"/>
              <w:topLinePunct/>
              <w:spacing w:line="480" w:lineRule="exact"/>
              <w:ind w:right="1204"/>
              <w:jc w:val="center"/>
              <w:rPr>
                <w:rFonts w:ascii="华文仿宋" w:hAnsi="华文仿宋" w:eastAsia="华文仿宋" w:cs="华文仿宋"/>
              </w:rPr>
            </w:pPr>
          </w:p>
          <w:p w14:paraId="63292681">
            <w:pPr>
              <w:wordWrap w:val="0"/>
              <w:topLinePunct/>
              <w:spacing w:line="480" w:lineRule="exact"/>
              <w:ind w:right="1204"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 xml:space="preserve">          投  标  人（盖章）：</w:t>
            </w:r>
          </w:p>
          <w:p w14:paraId="3CB71D85">
            <w:pPr>
              <w:wordWrap w:val="0"/>
              <w:topLinePunct/>
              <w:spacing w:line="480" w:lineRule="exact"/>
              <w:ind w:right="1204"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 xml:space="preserve">          法定代表人（签字）：</w:t>
            </w:r>
          </w:p>
          <w:p w14:paraId="57F45E6B">
            <w:pPr>
              <w:wordWrap w:val="0"/>
              <w:topLinePunct/>
              <w:spacing w:line="480" w:lineRule="exact"/>
              <w:ind w:firstLine="6000" w:firstLineChars="2500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年   月   日</w:t>
            </w:r>
          </w:p>
          <w:p w14:paraId="54D70650">
            <w:pPr>
              <w:wordWrap w:val="0"/>
              <w:topLinePunct/>
              <w:spacing w:line="480" w:lineRule="exact"/>
              <w:rPr>
                <w:rFonts w:ascii="华文仿宋" w:hAnsi="华文仿宋" w:eastAsia="华文仿宋" w:cs="华文仿宋"/>
              </w:rPr>
            </w:pPr>
          </w:p>
          <w:p w14:paraId="581A03ED">
            <w:pPr>
              <w:wordWrap w:val="0"/>
              <w:topLinePunct/>
              <w:spacing w:line="480" w:lineRule="exact"/>
              <w:rPr>
                <w:rFonts w:ascii="华文仿宋" w:hAnsi="华文仿宋" w:eastAsia="华文仿宋" w:cs="华文仿宋"/>
              </w:rPr>
            </w:pPr>
          </w:p>
          <w:p w14:paraId="79158545">
            <w:pPr>
              <w:wordWrap w:val="0"/>
              <w:topLinePunct/>
              <w:spacing w:line="480" w:lineRule="exact"/>
              <w:rPr>
                <w:rFonts w:ascii="华文仿宋" w:hAnsi="华文仿宋" w:eastAsia="华文仿宋" w:cs="华文仿宋"/>
              </w:rPr>
            </w:pPr>
          </w:p>
        </w:tc>
      </w:tr>
    </w:tbl>
    <w:p w14:paraId="1608B97B">
      <w:pPr>
        <w:widowControl/>
        <w:wordWrap w:val="0"/>
        <w:topLinePunct/>
        <w:rPr>
          <w:rFonts w:ascii="黑体" w:hAnsi="黑体" w:eastAsia="黑体" w:cs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7C0507D">
      <w:pPr>
        <w:wordWrap w:val="0"/>
        <w:overflowPunct w:val="0"/>
        <w:adjustRightInd w:val="0"/>
        <w:snapToGrid w:val="0"/>
        <w:spacing w:line="520" w:lineRule="exact"/>
        <w:rPr>
          <w:rFonts w:ascii="Times New Roman Regular" w:hAnsi="Times New Roman Regular" w:eastAsia="仿宋_GB2312" w:cs="Times New Roman Regular"/>
          <w:sz w:val="28"/>
          <w:szCs w:val="28"/>
        </w:rPr>
      </w:pPr>
      <w:r>
        <w:rPr>
          <w:rFonts w:hint="eastAsia" w:ascii="Times New Roman Regular" w:hAnsi="Times New Roman Regular" w:eastAsia="仿宋_GB2312" w:cs="Times New Roman Regular"/>
          <w:sz w:val="28"/>
          <w:szCs w:val="28"/>
        </w:rPr>
        <w:t>附件二：</w:t>
      </w:r>
    </w:p>
    <w:p w14:paraId="57DCBD13">
      <w:pPr>
        <w:widowControl/>
        <w:wordWrap w:val="0"/>
        <w:topLinePunct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四川中南明大置业投资有限公司破产清算案</w:t>
      </w:r>
    </w:p>
    <w:p w14:paraId="4A4E70CC">
      <w:pPr>
        <w:widowControl/>
        <w:wordWrap w:val="0"/>
        <w:topLinePunct/>
        <w:spacing w:after="156" w:afterLines="50"/>
        <w:jc w:val="center"/>
        <w:rPr>
          <w:rFonts w:ascii="仿宋" w:hAnsi="仿宋" w:eastAsia="仿宋" w:cs="Verdana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选聘拍卖辅助机构评分细则</w:t>
      </w:r>
    </w:p>
    <w:tbl>
      <w:tblPr>
        <w:tblStyle w:val="4"/>
        <w:tblW w:w="830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2624"/>
        <w:gridCol w:w="4733"/>
      </w:tblGrid>
      <w:tr w14:paraId="25BF7F4A">
        <w:trPr>
          <w:trHeight w:val="663" w:hRule="atLeast"/>
        </w:trPr>
        <w:tc>
          <w:tcPr>
            <w:tcW w:w="3576" w:type="dxa"/>
            <w:gridSpan w:val="2"/>
            <w:vAlign w:val="center"/>
          </w:tcPr>
          <w:p w14:paraId="3E4A155B">
            <w:pPr>
              <w:wordWrap w:val="0"/>
              <w:topLinePunct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参选机构</w:t>
            </w:r>
          </w:p>
        </w:tc>
        <w:tc>
          <w:tcPr>
            <w:tcW w:w="4733" w:type="dxa"/>
            <w:vAlign w:val="center"/>
          </w:tcPr>
          <w:p w14:paraId="3B221655">
            <w:pPr>
              <w:wordWrap w:val="0"/>
              <w:topLinePunct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  <w:tr w14:paraId="51E22562">
        <w:trPr>
          <w:trHeight w:val="496" w:hRule="atLeast"/>
        </w:trPr>
        <w:tc>
          <w:tcPr>
            <w:tcW w:w="952" w:type="dxa"/>
            <w:vAlign w:val="center"/>
          </w:tcPr>
          <w:p w14:paraId="3E830D81">
            <w:pPr>
              <w:wordWrap w:val="0"/>
              <w:topLinePunct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序号</w:t>
            </w:r>
          </w:p>
        </w:tc>
        <w:tc>
          <w:tcPr>
            <w:tcW w:w="2624" w:type="dxa"/>
            <w:vAlign w:val="center"/>
          </w:tcPr>
          <w:p w14:paraId="44A9DC9D">
            <w:pPr>
              <w:wordWrap w:val="0"/>
              <w:topLinePunct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评分要素</w:t>
            </w:r>
          </w:p>
        </w:tc>
        <w:tc>
          <w:tcPr>
            <w:tcW w:w="4733" w:type="dxa"/>
            <w:vAlign w:val="center"/>
          </w:tcPr>
          <w:p w14:paraId="43814934">
            <w:pPr>
              <w:wordWrap w:val="0"/>
              <w:topLinePunct/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评分标准</w:t>
            </w:r>
          </w:p>
        </w:tc>
      </w:tr>
      <w:tr w14:paraId="1534B1D6">
        <w:trPr>
          <w:trHeight w:val="2021" w:hRule="atLeast"/>
        </w:trPr>
        <w:tc>
          <w:tcPr>
            <w:tcW w:w="952" w:type="dxa"/>
            <w:vAlign w:val="center"/>
          </w:tcPr>
          <w:p w14:paraId="6BC1041B">
            <w:pPr>
              <w:wordWrap w:val="0"/>
              <w:topLinePunct/>
              <w:adjustRightInd w:val="0"/>
              <w:snapToGrid w:val="0"/>
              <w:spacing w:line="400" w:lineRule="exact"/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1</w:t>
            </w:r>
          </w:p>
        </w:tc>
        <w:tc>
          <w:tcPr>
            <w:tcW w:w="2624" w:type="dxa"/>
            <w:vAlign w:val="center"/>
          </w:tcPr>
          <w:p w14:paraId="66C7620A">
            <w:pPr>
              <w:wordWrap w:val="0"/>
              <w:topLinePunct/>
              <w:adjustRightInd w:val="0"/>
              <w:snapToGrid w:val="0"/>
              <w:spacing w:line="400" w:lineRule="exact"/>
              <w:jc w:val="center"/>
              <w:rPr>
                <w:rFonts w:ascii="华文仿宋" w:hAnsi="华文仿宋" w:eastAsia="华文仿宋" w:cs="华文仿宋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8"/>
                <w:szCs w:val="28"/>
              </w:rPr>
              <w:t>报价（40分）</w:t>
            </w:r>
          </w:p>
        </w:tc>
        <w:tc>
          <w:tcPr>
            <w:tcW w:w="4733" w:type="dxa"/>
            <w:vAlign w:val="center"/>
          </w:tcPr>
          <w:p w14:paraId="0A08F892">
            <w:pPr>
              <w:wordWrap w:val="0"/>
              <w:topLinePunct/>
              <w:adjustRightInd w:val="0"/>
              <w:snapToGrid w:val="0"/>
              <w:spacing w:line="400" w:lineRule="exact"/>
              <w:ind w:firstLine="560" w:firstLineChars="200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以所有参选机构有效投标报价的平均数作为基准报价，参选机构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  <w:lang w:val="en-US" w:eastAsia="zh-CN"/>
              </w:rPr>
              <w:t>的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报价每高于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  <w:lang w:val="en-US" w:eastAsia="zh-CN"/>
              </w:rPr>
              <w:t>或低于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基准报价10%扣2分。</w:t>
            </w:r>
          </w:p>
        </w:tc>
      </w:tr>
      <w:tr w14:paraId="2AD9FDAA">
        <w:trPr>
          <w:trHeight w:val="2539" w:hRule="atLeast"/>
        </w:trPr>
        <w:tc>
          <w:tcPr>
            <w:tcW w:w="952" w:type="dxa"/>
            <w:vAlign w:val="center"/>
          </w:tcPr>
          <w:p w14:paraId="21972C72">
            <w:pPr>
              <w:wordWrap w:val="0"/>
              <w:topLinePunct/>
              <w:adjustRightInd w:val="0"/>
              <w:snapToGrid w:val="0"/>
              <w:spacing w:line="400" w:lineRule="exact"/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2</w:t>
            </w:r>
          </w:p>
        </w:tc>
        <w:tc>
          <w:tcPr>
            <w:tcW w:w="2624" w:type="dxa"/>
            <w:vAlign w:val="center"/>
          </w:tcPr>
          <w:p w14:paraId="3F90D2C0">
            <w:pPr>
              <w:wordWrap w:val="0"/>
              <w:topLinePunct/>
              <w:adjustRightInd w:val="0"/>
              <w:snapToGrid w:val="0"/>
              <w:spacing w:line="400" w:lineRule="exact"/>
              <w:jc w:val="center"/>
              <w:rPr>
                <w:rFonts w:ascii="华文仿宋" w:hAnsi="华文仿宋" w:eastAsia="华文仿宋" w:cs="华文仿宋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8"/>
                <w:szCs w:val="28"/>
              </w:rPr>
              <w:t>业绩（</w:t>
            </w:r>
            <w:r>
              <w:rPr>
                <w:rFonts w:hint="eastAsia" w:ascii="华文仿宋" w:hAnsi="华文仿宋" w:eastAsia="华文仿宋" w:cs="华文仿宋"/>
                <w:b/>
                <w:bCs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华文仿宋" w:hAnsi="华文仿宋" w:eastAsia="华文仿宋" w:cs="华文仿宋"/>
                <w:b/>
                <w:bCs/>
                <w:sz w:val="28"/>
                <w:szCs w:val="28"/>
              </w:rPr>
              <w:t>0分）</w:t>
            </w:r>
          </w:p>
        </w:tc>
        <w:tc>
          <w:tcPr>
            <w:tcW w:w="4733" w:type="dxa"/>
            <w:vAlign w:val="center"/>
          </w:tcPr>
          <w:p w14:paraId="31F1F893">
            <w:pPr>
              <w:wordWrap w:val="0"/>
              <w:topLinePunct/>
              <w:adjustRightInd w:val="0"/>
              <w:snapToGrid w:val="0"/>
              <w:spacing w:line="400" w:lineRule="exact"/>
              <w:ind w:firstLine="560" w:firstLineChars="200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lang w:val="en-US" w:eastAsia="zh-CN"/>
              </w:rPr>
              <w:t>参选机构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具备近五年内，在破产案件中辅助管理人拍卖住宅用房、商业及办公用房、车位、应收账款等资产经验的相关证明每项计2分，最高不超过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0分。</w:t>
            </w:r>
          </w:p>
        </w:tc>
      </w:tr>
      <w:tr w14:paraId="26E3724E">
        <w:trPr>
          <w:trHeight w:val="3073" w:hRule="atLeast"/>
        </w:trPr>
        <w:tc>
          <w:tcPr>
            <w:tcW w:w="952" w:type="dxa"/>
            <w:vAlign w:val="center"/>
          </w:tcPr>
          <w:p w14:paraId="07E52992">
            <w:pPr>
              <w:wordWrap w:val="0"/>
              <w:topLinePunct/>
              <w:adjustRightInd w:val="0"/>
              <w:snapToGrid w:val="0"/>
              <w:spacing w:line="400" w:lineRule="exact"/>
              <w:jc w:val="center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3</w:t>
            </w:r>
          </w:p>
        </w:tc>
        <w:tc>
          <w:tcPr>
            <w:tcW w:w="2624" w:type="dxa"/>
            <w:vAlign w:val="center"/>
          </w:tcPr>
          <w:p w14:paraId="7D786C19">
            <w:pPr>
              <w:wordWrap w:val="0"/>
              <w:topLinePunct/>
              <w:adjustRightInd w:val="0"/>
              <w:snapToGrid w:val="0"/>
              <w:spacing w:line="400" w:lineRule="exact"/>
              <w:jc w:val="center"/>
              <w:rPr>
                <w:rFonts w:ascii="华文仿宋" w:hAnsi="华文仿宋" w:eastAsia="华文仿宋" w:cs="华文仿宋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8"/>
                <w:szCs w:val="28"/>
              </w:rPr>
              <w:t>服务方案（</w:t>
            </w:r>
            <w:r>
              <w:rPr>
                <w:rFonts w:hint="eastAsia" w:ascii="华文仿宋" w:hAnsi="华文仿宋" w:eastAsia="华文仿宋" w:cs="华文仿宋"/>
                <w:b/>
                <w:bCs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华文仿宋" w:hAnsi="华文仿宋" w:eastAsia="华文仿宋" w:cs="华文仿宋"/>
                <w:b/>
                <w:bCs/>
                <w:sz w:val="28"/>
                <w:szCs w:val="28"/>
              </w:rPr>
              <w:t>0分）</w:t>
            </w:r>
          </w:p>
        </w:tc>
        <w:tc>
          <w:tcPr>
            <w:tcW w:w="4733" w:type="dxa"/>
            <w:vAlign w:val="center"/>
          </w:tcPr>
          <w:p w14:paraId="71E986C0">
            <w:pPr>
              <w:wordWrap w:val="0"/>
              <w:topLinePunct/>
              <w:adjustRightInd w:val="0"/>
              <w:snapToGrid w:val="0"/>
              <w:spacing w:line="400" w:lineRule="exact"/>
              <w:ind w:firstLine="560" w:firstLineChars="200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lang w:val="en-US" w:eastAsia="zh-CN"/>
              </w:rPr>
              <w:t>针对参选机构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服务方案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  <w:lang w:val="en-US" w:eastAsia="zh-CN"/>
              </w:rPr>
              <w:t>的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合理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  <w:lang w:val="en-US" w:eastAsia="zh-CN"/>
              </w:rPr>
              <w:t>性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完整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  <w:lang w:val="en-US" w:eastAsia="zh-CN"/>
              </w:rPr>
              <w:t>性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有效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  <w:lang w:val="en-US" w:eastAsia="zh-CN"/>
              </w:rPr>
              <w:t>性及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可操作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  <w:lang w:val="en-US" w:eastAsia="zh-CN"/>
              </w:rPr>
              <w:t>进行评分，共计4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0分；</w:t>
            </w:r>
          </w:p>
        </w:tc>
      </w:tr>
      <w:tr w14:paraId="7308A4CB">
        <w:trPr>
          <w:trHeight w:val="863" w:hRule="atLeast"/>
        </w:trPr>
        <w:tc>
          <w:tcPr>
            <w:tcW w:w="3576" w:type="dxa"/>
            <w:gridSpan w:val="2"/>
            <w:vAlign w:val="center"/>
          </w:tcPr>
          <w:p w14:paraId="7EA4EC3B">
            <w:pPr>
              <w:wordWrap w:val="0"/>
              <w:topLinePunct/>
              <w:adjustRightInd w:val="0"/>
              <w:snapToGrid w:val="0"/>
              <w:spacing w:line="400" w:lineRule="exact"/>
              <w:jc w:val="center"/>
              <w:rPr>
                <w:rFonts w:ascii="华文仿宋" w:hAnsi="华文仿宋" w:eastAsia="华文仿宋" w:cs="华文仿宋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8"/>
                <w:szCs w:val="28"/>
              </w:rPr>
              <w:t>总分100分</w:t>
            </w:r>
          </w:p>
        </w:tc>
        <w:tc>
          <w:tcPr>
            <w:tcW w:w="4733" w:type="dxa"/>
            <w:vAlign w:val="center"/>
          </w:tcPr>
          <w:p w14:paraId="180781BB">
            <w:pPr>
              <w:wordWrap w:val="0"/>
              <w:topLinePunct/>
              <w:adjustRightInd w:val="0"/>
              <w:snapToGrid w:val="0"/>
              <w:spacing w:line="400" w:lineRule="exac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8"/>
                <w:szCs w:val="28"/>
              </w:rPr>
              <w:t>参选机构总得分：</w:t>
            </w:r>
          </w:p>
        </w:tc>
      </w:tr>
    </w:tbl>
    <w:p w14:paraId="19AFA59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STFangsong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仿宋_GB2312">
    <w:altName w:val="方正仿宋_GBK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7A24D"/>
    <w:rsid w:val="46A20A26"/>
    <w:rsid w:val="6FFE67AF"/>
    <w:rsid w:val="7967A24D"/>
    <w:rsid w:val="7BCE8C65"/>
    <w:rsid w:val="7E75FA74"/>
    <w:rsid w:val="B7B17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0" w:beforeLines="50" w:beforeAutospacing="0" w:after="50" w:afterLines="50" w:afterAutospacing="0" w:line="560" w:lineRule="exact"/>
      <w:ind w:firstLine="0" w:firstLineChars="0"/>
      <w:jc w:val="center"/>
      <w:outlineLvl w:val="0"/>
    </w:pPr>
    <w:rPr>
      <w:rFonts w:ascii="STFangsong" w:hAnsi="STFangsong" w:eastAsia="STFangsong"/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2026-03-13T14:44:00Z</dcterms:created>
  <dc:creator>猜清寻</dc:creator>
  <cp:lastModifiedBy>猜清寻</cp:lastModifiedBy>
  <dcterms:modified xsi:type="dcterms:W3CDTF">2026-03-13T14:45:06Z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6AF1B76443F770B65AB2B369F35670FE_41</vt:lpwstr>
  </property>
</Properties>
</file>