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7A002">
      <w:pPr>
        <w:spacing w:before="0" w:beforeLines="0" w:after="0" w:afterLines="0" w:line="360" w:lineRule="auto"/>
        <w:ind w:firstLine="574" w:firstLineChars="200"/>
        <w:jc w:val="center"/>
        <w:rPr>
          <w:rFonts w:hint="eastAsia" w:ascii="仿宋" w:hAnsi="仿宋" w:eastAsia="仿宋" w:cs="仿宋"/>
          <w:b/>
          <w:bCs/>
          <w:color w:val="000000" w:themeColor="text1"/>
          <w:spacing w:val="3"/>
          <w:sz w:val="28"/>
          <w:szCs w:val="28"/>
          <w:highlight w:val="none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pacing w:val="3"/>
          <w:sz w:val="28"/>
          <w:szCs w:val="28"/>
          <w:highlight w:val="none"/>
          <w:lang w:eastAsia="zh-Hans"/>
          <w14:textFill>
            <w14:solidFill>
              <w14:schemeClr w14:val="tx1"/>
            </w14:solidFill>
          </w14:textFill>
        </w:rPr>
        <w:t>中介机构比选的评分细则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5"/>
        <w:gridCol w:w="1310"/>
        <w:gridCol w:w="4817"/>
      </w:tblGrid>
      <w:tr w14:paraId="7D95E377">
        <w:tc>
          <w:tcPr>
            <w:tcW w:w="2395" w:type="dxa"/>
          </w:tcPr>
          <w:p w14:paraId="14A274EF">
            <w:pPr>
              <w:widowControl/>
              <w:spacing w:before="157" w:beforeLines="50" w:after="157" w:afterLines="50" w:line="46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评审项目</w:t>
            </w:r>
          </w:p>
        </w:tc>
        <w:tc>
          <w:tcPr>
            <w:tcW w:w="1310" w:type="dxa"/>
          </w:tcPr>
          <w:p w14:paraId="633244D2">
            <w:pPr>
              <w:widowControl/>
              <w:spacing w:before="157" w:beforeLines="50" w:after="157" w:afterLines="50" w:line="46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分值</w:t>
            </w:r>
          </w:p>
        </w:tc>
        <w:tc>
          <w:tcPr>
            <w:tcW w:w="4817" w:type="dxa"/>
          </w:tcPr>
          <w:p w14:paraId="1540BFA6">
            <w:pPr>
              <w:widowControl/>
              <w:spacing w:before="157" w:beforeLines="50" w:after="157" w:afterLines="50" w:line="46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评分标准</w:t>
            </w:r>
          </w:p>
        </w:tc>
      </w:tr>
      <w:tr w14:paraId="5F07FE30">
        <w:tc>
          <w:tcPr>
            <w:tcW w:w="2395" w:type="dxa"/>
            <w:vAlign w:val="center"/>
          </w:tcPr>
          <w:p w14:paraId="47B71611">
            <w:pPr>
              <w:widowControl/>
              <w:spacing w:before="157" w:beforeLines="50" w:after="157" w:afterLines="50"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</w:t>
            </w:r>
          </w:p>
        </w:tc>
        <w:tc>
          <w:tcPr>
            <w:tcW w:w="1310" w:type="dxa"/>
            <w:vAlign w:val="center"/>
          </w:tcPr>
          <w:p w14:paraId="52DD6F29">
            <w:pPr>
              <w:widowControl/>
              <w:spacing w:before="157" w:beforeLines="50" w:after="157" w:afterLines="50"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40分</w:t>
            </w:r>
            <w:bookmarkStart w:id="0" w:name="_GoBack"/>
            <w:bookmarkEnd w:id="0"/>
          </w:p>
        </w:tc>
        <w:tc>
          <w:tcPr>
            <w:tcW w:w="4817" w:type="dxa"/>
          </w:tcPr>
          <w:p w14:paraId="57D23DE0">
            <w:pPr>
              <w:widowControl/>
              <w:spacing w:before="157" w:beforeLines="50" w:after="157" w:afterLines="50" w:line="4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以同类中介机构报价平均分为基数，以平均分差额绝对值排序。差额最小即获满分，第二则扣减2分，以此类推，最低分为10分。</w:t>
            </w:r>
          </w:p>
        </w:tc>
      </w:tr>
      <w:tr w14:paraId="6C50F548">
        <w:tc>
          <w:tcPr>
            <w:tcW w:w="2395" w:type="dxa"/>
            <w:vAlign w:val="center"/>
          </w:tcPr>
          <w:p w14:paraId="0E260674">
            <w:pPr>
              <w:widowControl/>
              <w:spacing w:before="157" w:beforeLines="50" w:after="157" w:afterLines="50" w:line="4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资质条件</w:t>
            </w:r>
          </w:p>
        </w:tc>
        <w:tc>
          <w:tcPr>
            <w:tcW w:w="1310" w:type="dxa"/>
            <w:vAlign w:val="center"/>
          </w:tcPr>
          <w:p w14:paraId="2B2C099A">
            <w:pPr>
              <w:widowControl/>
              <w:spacing w:before="157" w:beforeLines="50" w:after="157" w:afterLines="50" w:line="4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10分</w:t>
            </w:r>
          </w:p>
        </w:tc>
        <w:tc>
          <w:tcPr>
            <w:tcW w:w="4817" w:type="dxa"/>
          </w:tcPr>
          <w:p w14:paraId="3F59C5A3">
            <w:pPr>
              <w:widowControl/>
              <w:spacing w:before="157" w:beforeLines="50" w:after="157" w:afterLines="50" w:line="4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中介机构是否具备国家、行业主管部门颁发的营业执照，具备专项资质（附相关证明资料）；具有良好的商誉，近三年内没有不良记录；具有履行合同所需的专业技术能力和专业技术人员等，完全满足要求，8-10分；基本满足要求，5-8分；基本不满足要求，0-5分。</w:t>
            </w:r>
          </w:p>
        </w:tc>
      </w:tr>
      <w:tr w14:paraId="19C70703">
        <w:tc>
          <w:tcPr>
            <w:tcW w:w="2395" w:type="dxa"/>
            <w:vAlign w:val="center"/>
          </w:tcPr>
          <w:p w14:paraId="75DF6B85">
            <w:pPr>
              <w:widowControl/>
              <w:spacing w:before="157" w:beforeLines="50" w:after="157" w:afterLines="50" w:line="4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机构业绩</w:t>
            </w:r>
          </w:p>
        </w:tc>
        <w:tc>
          <w:tcPr>
            <w:tcW w:w="1310" w:type="dxa"/>
            <w:vAlign w:val="center"/>
          </w:tcPr>
          <w:p w14:paraId="04CB9D83">
            <w:pPr>
              <w:widowControl/>
              <w:spacing w:before="157" w:beforeLines="50" w:after="157" w:afterLines="50" w:line="4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20分</w:t>
            </w:r>
          </w:p>
        </w:tc>
        <w:tc>
          <w:tcPr>
            <w:tcW w:w="4817" w:type="dxa"/>
          </w:tcPr>
          <w:p w14:paraId="72F79E5E">
            <w:pPr>
              <w:widowControl/>
              <w:spacing w:before="157" w:beforeLines="50" w:after="157" w:afterLines="50" w:line="46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提供同类业绩每个得2分，房地产开发企业破产案件同类业绩每个得2分，最高20分。</w:t>
            </w:r>
          </w:p>
        </w:tc>
      </w:tr>
      <w:tr w14:paraId="783EBA03">
        <w:tc>
          <w:tcPr>
            <w:tcW w:w="2395" w:type="dxa"/>
            <w:vAlign w:val="center"/>
          </w:tcPr>
          <w:p w14:paraId="60CD1236">
            <w:pPr>
              <w:widowControl/>
              <w:spacing w:before="157" w:beforeLines="50" w:after="157" w:afterLines="50" w:line="4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工作方案</w:t>
            </w:r>
          </w:p>
        </w:tc>
        <w:tc>
          <w:tcPr>
            <w:tcW w:w="1310" w:type="dxa"/>
            <w:vAlign w:val="center"/>
          </w:tcPr>
          <w:p w14:paraId="2659FF1F">
            <w:pPr>
              <w:widowControl/>
              <w:spacing w:before="157" w:beforeLines="50" w:after="157" w:afterLines="50" w:line="46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30分</w:t>
            </w:r>
          </w:p>
        </w:tc>
        <w:tc>
          <w:tcPr>
            <w:tcW w:w="4817" w:type="dxa"/>
          </w:tcPr>
          <w:p w14:paraId="587A52BC">
            <w:pPr>
              <w:widowControl/>
              <w:spacing w:before="157" w:beforeLines="50" w:after="157" w:afterLines="50" w:line="46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根据中介机构所作的工作方案与工作计划是否科学、贴近本项目实际情况，</w:t>
            </w: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工作完成时间及</w:t>
            </w: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是否针对管理人需求有明确、详细、规范、全面、可操作性强的计划等情况评分。</w:t>
            </w:r>
          </w:p>
          <w:p w14:paraId="594E9945">
            <w:pPr>
              <w:widowControl/>
              <w:spacing w:before="157" w:beforeLines="50" w:after="157" w:afterLines="50" w:line="46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3"/>
                <w:sz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编制优良，方案切实可行，针对性强20-30分；编制较好，基本满足要求，10-20分；编制一般，方案可行性差，无针对性0-10分。</w:t>
            </w:r>
          </w:p>
        </w:tc>
      </w:tr>
    </w:tbl>
    <w:p w14:paraId="330583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EE129"/>
    <w:rsid w:val="6EFEC081"/>
    <w:rsid w:val="7E5FFE19"/>
    <w:rsid w:val="7EFEE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Office_12.1.24709.24709_F1E327BC-269C-435d-A152-05C5408002CA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2026-03-04T14:32:00Z</dcterms:created>
  <dc:creator>读书</dc:creator>
  <cp:lastModifiedBy>读书</cp:lastModifiedBy>
  <dcterms:modified xsi:type="dcterms:W3CDTF">2026-03-04T14:35:06Z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2052-12.1.24709.24709</vt:lpwstr>
  </property>
  <property fmtid="{D5CDD505-2E9C-101B-9397-08002B2CF9AE}" pid="3" name="ICV">
    <vt:lpwstr>F865BECC7AF5E31AE1D1A769EA1D5F32_41</vt:lpwstr>
  </property>
</Properties>
</file>