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36286">
      <w:pPr>
        <w:adjustRightInd w:val="0"/>
        <w:snapToGrid w:val="0"/>
        <w:spacing w:line="360" w:lineRule="auto"/>
        <w:rPr>
          <w:rFonts w:ascii="仿宋" w:hAnsi="仿宋" w:eastAsia="仿宋" w:cs="仿宋"/>
          <w:sz w:val="28"/>
          <w:szCs w:val="36"/>
        </w:rPr>
      </w:pPr>
      <w:r>
        <w:rPr>
          <w:rFonts w:hint="eastAsia" w:ascii="仿宋" w:hAnsi="仿宋" w:eastAsia="仿宋" w:cs="仿宋"/>
          <w:sz w:val="28"/>
          <w:szCs w:val="36"/>
        </w:rPr>
        <w:t>附件1</w:t>
      </w:r>
    </w:p>
    <w:p w14:paraId="7144107F">
      <w:pPr>
        <w:adjustRightInd w:val="0"/>
        <w:snapToGrid w:val="0"/>
        <w:spacing w:line="360" w:lineRule="auto"/>
        <w:jc w:val="center"/>
        <w:rPr>
          <w:rFonts w:ascii="华文中宋" w:hAnsi="华文中宋" w:eastAsia="华文中宋" w:cs="华文中宋"/>
          <w:b/>
          <w:sz w:val="36"/>
          <w:szCs w:val="44"/>
        </w:rPr>
      </w:pPr>
      <w:bookmarkStart w:id="0" w:name="OLE_LINK17"/>
      <w:r>
        <w:rPr>
          <w:rFonts w:hint="eastAsia" w:ascii="华文中宋" w:hAnsi="华文中宋" w:eastAsia="华文中宋" w:cs="华文中宋"/>
          <w:b/>
          <w:sz w:val="36"/>
          <w:szCs w:val="44"/>
        </w:rPr>
        <w:t>四川汉江新材料有限公司预重整案</w:t>
      </w:r>
    </w:p>
    <w:bookmarkEnd w:id="0"/>
    <w:p w14:paraId="420C7141">
      <w:pPr>
        <w:adjustRightInd w:val="0"/>
        <w:snapToGrid w:val="0"/>
        <w:spacing w:line="360" w:lineRule="auto"/>
        <w:jc w:val="center"/>
        <w:rPr>
          <w:rFonts w:ascii="华文中宋" w:hAnsi="华文中宋" w:eastAsia="华文中宋" w:cs="华文中宋"/>
          <w:b/>
          <w:sz w:val="36"/>
          <w:szCs w:val="44"/>
        </w:rPr>
      </w:pPr>
      <w:r>
        <w:rPr>
          <w:rFonts w:hint="eastAsia" w:ascii="华文中宋" w:hAnsi="华文中宋" w:eastAsia="华文中宋" w:cs="华文中宋"/>
          <w:b/>
          <w:sz w:val="36"/>
          <w:szCs w:val="44"/>
        </w:rPr>
        <w:t>债权登</w:t>
      </w:r>
      <w:bookmarkStart w:id="1" w:name="OLE_LINK29"/>
      <w:bookmarkStart w:id="2" w:name="OLE_LINK28"/>
      <w:r>
        <w:rPr>
          <w:rFonts w:hint="eastAsia" w:ascii="华文中宋" w:hAnsi="华文中宋" w:eastAsia="华文中宋" w:cs="华文中宋"/>
          <w:b/>
          <w:sz w:val="36"/>
          <w:szCs w:val="44"/>
        </w:rPr>
        <w:t>记须知</w:t>
      </w:r>
      <w:bookmarkEnd w:id="1"/>
      <w:bookmarkEnd w:id="2"/>
    </w:p>
    <w:p w14:paraId="23DB3747">
      <w:pPr>
        <w:adjustRightInd w:val="0"/>
        <w:snapToGrid w:val="0"/>
        <w:spacing w:line="360" w:lineRule="auto"/>
        <w:jc w:val="center"/>
        <w:rPr>
          <w:rFonts w:ascii="仿宋" w:hAnsi="仿宋" w:eastAsia="仿宋" w:cs="仿宋"/>
          <w:sz w:val="28"/>
          <w:szCs w:val="36"/>
        </w:rPr>
      </w:pPr>
    </w:p>
    <w:p w14:paraId="15A8601E">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为明确债权人在债权登记阶段的权利义务，保障预重整程序合法推进，管理人就债权登记事项告知如下：</w:t>
      </w:r>
    </w:p>
    <w:p w14:paraId="422D4760">
      <w:pPr>
        <w:adjustRightInd w:val="0"/>
        <w:snapToGrid w:val="0"/>
        <w:spacing w:before="312" w:beforeLines="100"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一、登记期限</w:t>
      </w:r>
    </w:p>
    <w:p w14:paraId="0E0953AB">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四川汉江新材料有限公司预重整案的债权登记截止日为2026年4月15日（以管理人签收登记材料时间为准）。</w:t>
      </w:r>
    </w:p>
    <w:p w14:paraId="74685A01">
      <w:pPr>
        <w:adjustRightInd w:val="0"/>
        <w:snapToGrid w:val="0"/>
        <w:spacing w:before="312" w:beforeLines="100"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二、登记注意事项</w:t>
      </w:r>
    </w:p>
    <w:p w14:paraId="45C3F412">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（一）附利息的债权，暂计至受理预重整申请时即2026年3月13日。预重整期间产生的利息，管理人将顺延计算至法院正式裁定受理破产重整之日。</w:t>
      </w:r>
    </w:p>
    <w:p w14:paraId="7C066C7F">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（二）附条件、附期限债权及诉讼/仲裁未决债权，均可登记。</w:t>
      </w:r>
    </w:p>
    <w:p w14:paraId="016C93CE">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（三）登记债权时，需书面说明债权数额、有无财产担保及是否为连带债权等，并提交相关证据（如合同、转账凭证、判决书等）。</w:t>
      </w:r>
    </w:p>
    <w:p w14:paraId="34F1F6E6">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（四）连带债权人可由一人代表全体登记或共同登记；债务人的保证人或其他连带债务人已代偿的，可就求偿权登记；未代偿的，可登记将来求偿权（债权人已登记全部债权的除外）。</w:t>
      </w:r>
    </w:p>
    <w:p w14:paraId="6948E5F0">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（五）因管理人或债务人解除合同产生的损害赔偿请求权、受托人继续处理委托事务产生的请求权、票据付款人继续付款产生的请求权等，均可登记。</w:t>
      </w:r>
    </w:p>
    <w:p w14:paraId="22238C9A">
      <w:pPr>
        <w:adjustRightInd w:val="0"/>
        <w:snapToGrid w:val="0"/>
        <w:spacing w:line="360" w:lineRule="auto"/>
        <w:ind w:firstLine="562" w:firstLineChars="200"/>
        <w:rPr>
          <w:rFonts w:hint="eastAsia" w:ascii="仿宋" w:hAnsi="仿宋" w:eastAsia="仿宋" w:cs="仿宋"/>
          <w:b/>
          <w:bCs/>
          <w:sz w:val="28"/>
          <w:szCs w:val="36"/>
        </w:rPr>
      </w:pPr>
    </w:p>
    <w:p w14:paraId="71C8FD93">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三、登记主体资格材料</w:t>
      </w:r>
    </w:p>
    <w:p w14:paraId="638FF6EC">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（一）债权人主体证明</w:t>
      </w:r>
    </w:p>
    <w:p w14:paraId="09F47882">
      <w:pPr>
        <w:adjustRightInd w:val="0"/>
        <w:snapToGrid w:val="0"/>
        <w:spacing w:line="360" w:lineRule="auto"/>
        <w:ind w:firstLine="562" w:firstLineChars="200"/>
        <w:rPr>
          <w:rFonts w:ascii="仿宋" w:hAnsi="仿宋" w:eastAsia="仿宋" w:cs="仿宋"/>
          <w:sz w:val="28"/>
          <w:szCs w:val="36"/>
        </w:rPr>
      </w:pPr>
      <w:r>
        <w:rPr>
          <w:rFonts w:hint="eastAsia" w:ascii="仿宋" w:hAnsi="仿宋" w:eastAsia="仿宋" w:cs="仿宋"/>
          <w:b/>
          <w:bCs/>
          <w:sz w:val="28"/>
          <w:szCs w:val="36"/>
        </w:rPr>
        <w:t>1.机构债权人：</w:t>
      </w:r>
      <w:r>
        <w:rPr>
          <w:rFonts w:hint="eastAsia" w:ascii="仿宋" w:hAnsi="仿宋" w:eastAsia="仿宋" w:cs="仿宋"/>
          <w:sz w:val="28"/>
          <w:szCs w:val="36"/>
        </w:rPr>
        <w:t>提供营业执照（或事业单位/社会团体登记证书）原件（核对后退还）及复印件（加盖公章）、法定代表人身份证明（附身份证复印件并加盖公章）；金融机构另需提供《金融许可证》等资质证明。</w:t>
      </w:r>
    </w:p>
    <w:p w14:paraId="0637B271">
      <w:pPr>
        <w:adjustRightInd w:val="0"/>
        <w:snapToGrid w:val="0"/>
        <w:spacing w:line="360" w:lineRule="auto"/>
        <w:ind w:firstLine="562" w:firstLineChars="200"/>
        <w:rPr>
          <w:rFonts w:ascii="仿宋" w:hAnsi="仿宋" w:eastAsia="仿宋" w:cs="仿宋"/>
          <w:sz w:val="28"/>
          <w:szCs w:val="36"/>
        </w:rPr>
      </w:pPr>
      <w:r>
        <w:rPr>
          <w:rFonts w:hint="eastAsia" w:ascii="仿宋" w:hAnsi="仿宋" w:eastAsia="仿宋" w:cs="仿宋"/>
          <w:b/>
          <w:bCs/>
          <w:sz w:val="28"/>
          <w:szCs w:val="36"/>
        </w:rPr>
        <w:t>2.个人债权人：</w:t>
      </w:r>
      <w:r>
        <w:rPr>
          <w:rFonts w:hint="eastAsia" w:ascii="仿宋" w:hAnsi="仿宋" w:eastAsia="仿宋" w:cs="仿宋"/>
          <w:sz w:val="28"/>
          <w:szCs w:val="36"/>
        </w:rPr>
        <w:t>提供身份证原件（核对后退还）及复印件（签字捺印）。</w:t>
      </w:r>
    </w:p>
    <w:p w14:paraId="4A1A65DD">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（二）委托代理人材料（如有）</w:t>
      </w:r>
    </w:p>
    <w:p w14:paraId="121436FC">
      <w:pPr>
        <w:adjustRightInd w:val="0"/>
        <w:snapToGrid w:val="0"/>
        <w:spacing w:line="360" w:lineRule="auto"/>
        <w:ind w:firstLine="562" w:firstLineChars="200"/>
        <w:rPr>
          <w:rFonts w:ascii="仿宋" w:hAnsi="仿宋" w:eastAsia="仿宋" w:cs="仿宋"/>
          <w:sz w:val="28"/>
          <w:szCs w:val="36"/>
        </w:rPr>
      </w:pPr>
      <w:r>
        <w:rPr>
          <w:rFonts w:hint="eastAsia" w:ascii="仿宋" w:hAnsi="仿宋" w:eastAsia="仿宋" w:cs="仿宋"/>
          <w:b/>
          <w:bCs/>
          <w:sz w:val="28"/>
          <w:szCs w:val="36"/>
        </w:rPr>
        <w:t>1.机构委托：</w:t>
      </w:r>
      <w:r>
        <w:rPr>
          <w:rFonts w:hint="eastAsia" w:ascii="仿宋" w:hAnsi="仿宋" w:eastAsia="仿宋" w:cs="仿宋"/>
          <w:sz w:val="28"/>
          <w:szCs w:val="36"/>
        </w:rPr>
        <w:t>授权委托书（法定代表人签字并加盖公章）、代理人身份证复印件；代理人若为员工，需提供劳动合同或社保记录；若为律师，需提供律师事务所指派函及律师执业证复印件。</w:t>
      </w:r>
    </w:p>
    <w:p w14:paraId="738D058D">
      <w:pPr>
        <w:adjustRightInd w:val="0"/>
        <w:snapToGrid w:val="0"/>
        <w:spacing w:line="360" w:lineRule="auto"/>
        <w:ind w:firstLine="562" w:firstLineChars="200"/>
        <w:rPr>
          <w:rFonts w:ascii="仿宋" w:hAnsi="仿宋" w:eastAsia="仿宋" w:cs="仿宋"/>
          <w:sz w:val="28"/>
          <w:szCs w:val="36"/>
        </w:rPr>
      </w:pPr>
      <w:r>
        <w:rPr>
          <w:rFonts w:hint="eastAsia" w:ascii="仿宋" w:hAnsi="仿宋" w:eastAsia="仿宋" w:cs="仿宋"/>
          <w:b/>
          <w:bCs/>
          <w:sz w:val="28"/>
          <w:szCs w:val="36"/>
        </w:rPr>
        <w:t>2.个人委托：</w:t>
      </w:r>
      <w:r>
        <w:rPr>
          <w:rFonts w:hint="eastAsia" w:ascii="仿宋" w:hAnsi="仿宋" w:eastAsia="仿宋" w:cs="仿宋"/>
          <w:sz w:val="28"/>
          <w:szCs w:val="36"/>
        </w:rPr>
        <w:t>授权委托书（委托人签字捺印）、代理人身份证复印件；代理人若为近亲属，需提供亲属关系证明；若为律师，需提供律师事务所指派函及律师执业证复印件。</w:t>
      </w:r>
    </w:p>
    <w:p w14:paraId="430CA2A1">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（三）送达及银行信息确认</w:t>
      </w:r>
    </w:p>
    <w:p w14:paraId="7D63A4F4">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债权人需填写《债权人送达地址及银行账户确认书》，提供准确的送达地址、联系电话、电子邮箱及用于后续财产分配的银行账户信息（开户名、开户行、账号）。</w:t>
      </w:r>
    </w:p>
    <w:p w14:paraId="6305A8FF">
      <w:pPr>
        <w:adjustRightInd w:val="0"/>
        <w:snapToGrid w:val="0"/>
        <w:spacing w:line="360" w:lineRule="auto"/>
        <w:ind w:firstLine="562" w:firstLineChars="200"/>
        <w:rPr>
          <w:rFonts w:hint="eastAsia" w:ascii="仿宋" w:hAnsi="仿宋" w:eastAsia="仿宋" w:cs="仿宋"/>
          <w:b/>
          <w:bCs/>
          <w:sz w:val="28"/>
          <w:szCs w:val="36"/>
        </w:rPr>
      </w:pPr>
    </w:p>
    <w:p w14:paraId="3C1A95B0">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四、债权登记材</w:t>
      </w:r>
      <w:bookmarkStart w:id="3" w:name="OLE_LINK19"/>
      <w:bookmarkStart w:id="4" w:name="OLE_LINK18"/>
      <w:r>
        <w:rPr>
          <w:rFonts w:hint="eastAsia" w:ascii="仿宋" w:hAnsi="仿宋" w:eastAsia="仿宋" w:cs="仿宋"/>
          <w:b/>
          <w:bCs/>
          <w:sz w:val="28"/>
          <w:szCs w:val="36"/>
        </w:rPr>
        <w:t>料要</w:t>
      </w:r>
      <w:bookmarkEnd w:id="3"/>
      <w:bookmarkEnd w:id="4"/>
      <w:r>
        <w:rPr>
          <w:rFonts w:hint="eastAsia" w:ascii="仿宋" w:hAnsi="仿宋" w:eastAsia="仿宋" w:cs="仿宋"/>
          <w:b/>
          <w:bCs/>
          <w:sz w:val="28"/>
          <w:szCs w:val="36"/>
        </w:rPr>
        <w:t>求</w:t>
      </w:r>
    </w:p>
    <w:p w14:paraId="7090FD14">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（一）基础材料</w:t>
      </w:r>
    </w:p>
    <w:p w14:paraId="7200986C">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1.《债权登记表》（需列明债权本金、利息、违约金等详细构成及计算依据）。</w:t>
      </w:r>
    </w:p>
    <w:p w14:paraId="3AFA5793">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2.《债权登记材料清单》（列明所有提交材料的名称、页码、是否原件）。</w:t>
      </w:r>
    </w:p>
    <w:p w14:paraId="057354AB">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3.债权发生、变更、履行的证明材料（如合同、转账凭证、对账单、判决书等）原件（核对后退还）及复印件（机构加盖公章，个人签字捺印）。</w:t>
      </w:r>
    </w:p>
    <w:p w14:paraId="4097627F">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4.担保债权需提交抵押/质押合同、他项权利证书等担保材料。</w:t>
      </w:r>
    </w:p>
    <w:p w14:paraId="60313971">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5.涉诉债权需提交起诉状、判决书、调解书、生效证明、执行裁定书等法律文书。</w:t>
      </w:r>
    </w:p>
    <w:p w14:paraId="18949F73">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6.债权转让的需提交转让协议及通知债务人的证明。</w:t>
      </w:r>
    </w:p>
    <w:p w14:paraId="7D6D070F">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7.其他能证明债权的材料（如会计账簿、对账确认函等）。</w:t>
      </w:r>
    </w:p>
    <w:p w14:paraId="6C29A800">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（二）提交要求</w:t>
      </w:r>
    </w:p>
    <w:p w14:paraId="581847EF">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1.所有纸质材料需用A4纸打印或书写。</w:t>
      </w:r>
    </w:p>
    <w:p w14:paraId="469F1BE0">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2.机构债权人需在《债权登记表》等材料上加盖公章；个人债权人需签字捺印。</w:t>
      </w:r>
    </w:p>
    <w:p w14:paraId="4DB1A7A4">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3.现场登记应在现场登记期限内携带纸质材料及相应债权证明材料原件、复印件前往现场登记地向管理人提交。管理人核对原件后，退还原件。</w:t>
      </w:r>
    </w:p>
    <w:p w14:paraId="4ABC9D56">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4.邮寄登记材料请注明“四川汉江新材料有限公司债权登记”，在登记期限内向管理人邮寄纸质资料，并将全部登记资料扫描成PDF发送至管理人邮箱。</w:t>
      </w:r>
    </w:p>
    <w:p w14:paraId="35B3F5C8">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（1）管理人邮箱：hanjiangglr@163.com</w:t>
      </w:r>
    </w:p>
    <w:p w14:paraId="768A6AAC">
      <w:pPr>
        <w:adjustRightInd w:val="0"/>
        <w:snapToGrid w:val="0"/>
        <w:spacing w:line="360" w:lineRule="auto"/>
        <w:ind w:firstLine="562" w:firstLineChars="200"/>
        <w:rPr>
          <w:rFonts w:ascii="仿宋" w:hAnsi="仿宋" w:eastAsia="仿宋" w:cs="仿宋"/>
          <w:b/>
          <w:bCs/>
          <w:sz w:val="28"/>
          <w:szCs w:val="36"/>
        </w:rPr>
      </w:pPr>
      <w:r>
        <w:rPr>
          <w:rFonts w:hint="eastAsia" w:ascii="仿宋" w:hAnsi="仿宋" w:eastAsia="仿宋" w:cs="仿宋"/>
          <w:b/>
          <w:bCs/>
          <w:sz w:val="28"/>
          <w:szCs w:val="36"/>
        </w:rPr>
        <w:t>（2）纸质资料邮寄地址</w:t>
      </w:r>
    </w:p>
    <w:p w14:paraId="6C7F0490">
      <w:pPr>
        <w:adjustRightInd w:val="0"/>
        <w:snapToGrid w:val="0"/>
        <w:spacing w:line="360" w:lineRule="auto"/>
        <w:ind w:firstLine="544" w:firstLineChars="200"/>
        <w:rPr>
          <w:rFonts w:ascii="仿宋" w:hAnsi="仿宋" w:eastAsia="仿宋" w:cs="仿宋"/>
          <w:snapToGrid w:val="0"/>
          <w:spacing w:val="-4"/>
          <w:kern w:val="0"/>
          <w:sz w:val="28"/>
          <w:szCs w:val="36"/>
        </w:rPr>
      </w:pPr>
      <w:r>
        <w:rPr>
          <w:rFonts w:hint="eastAsia" w:ascii="仿宋" w:hAnsi="仿宋" w:eastAsia="仿宋" w:cs="仿宋"/>
          <w:snapToGrid w:val="0"/>
          <w:spacing w:val="-4"/>
          <w:kern w:val="0"/>
          <w:sz w:val="28"/>
          <w:szCs w:val="36"/>
        </w:rPr>
        <w:t>通信地址：成都市红星路三段1号国际金融中心一号办公楼22层</w:t>
      </w:r>
    </w:p>
    <w:p w14:paraId="1788659B">
      <w:pPr>
        <w:adjustRightInd w:val="0"/>
        <w:snapToGrid w:val="0"/>
        <w:spacing w:line="360" w:lineRule="auto"/>
        <w:ind w:firstLine="560" w:firstLineChars="200"/>
        <w:rPr>
          <w:rFonts w:ascii="仿宋" w:hAnsi="仿宋" w:eastAsia="仿宋" w:cs="仿宋"/>
          <w:sz w:val="28"/>
          <w:szCs w:val="36"/>
        </w:rPr>
      </w:pPr>
      <w:r>
        <w:rPr>
          <w:rFonts w:hint="eastAsia" w:ascii="仿宋" w:hAnsi="仿宋" w:eastAsia="仿宋" w:cs="仿宋"/>
          <w:sz w:val="28"/>
          <w:szCs w:val="36"/>
        </w:rPr>
        <w:t>联 系 人：谢律师</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 xml:space="preserve">联系电话：+86 </w:t>
      </w:r>
      <w:r>
        <w:rPr>
          <w:rFonts w:ascii="仿宋" w:hAnsi="仿宋" w:eastAsia="仿宋" w:cs="仿宋"/>
          <w:sz w:val="28"/>
          <w:szCs w:val="36"/>
        </w:rPr>
        <w:t>182</w:t>
      </w:r>
      <w:r>
        <w:rPr>
          <w:rFonts w:hint="eastAsia" w:ascii="仿宋" w:hAnsi="仿宋" w:eastAsia="仿宋" w:cs="仿宋"/>
          <w:sz w:val="28"/>
          <w:szCs w:val="36"/>
        </w:rPr>
        <w:t xml:space="preserve"> </w:t>
      </w:r>
      <w:r>
        <w:rPr>
          <w:rFonts w:ascii="仿宋" w:hAnsi="仿宋" w:eastAsia="仿宋" w:cs="仿宋"/>
          <w:sz w:val="28"/>
          <w:szCs w:val="36"/>
        </w:rPr>
        <w:t>1596</w:t>
      </w:r>
      <w:r>
        <w:rPr>
          <w:rFonts w:hint="eastAsia" w:ascii="仿宋" w:hAnsi="仿宋" w:eastAsia="仿宋" w:cs="仿宋"/>
          <w:sz w:val="28"/>
          <w:szCs w:val="36"/>
        </w:rPr>
        <w:t xml:space="preserve"> </w:t>
      </w:r>
      <w:r>
        <w:rPr>
          <w:rFonts w:ascii="仿宋" w:hAnsi="仿宋" w:eastAsia="仿宋" w:cs="仿宋"/>
          <w:sz w:val="28"/>
          <w:szCs w:val="36"/>
        </w:rPr>
        <w:t>2461</w:t>
      </w:r>
    </w:p>
    <w:p w14:paraId="01FAC1C4">
      <w:pPr>
        <w:adjustRightInd w:val="0"/>
        <w:snapToGrid w:val="0"/>
        <w:spacing w:line="360" w:lineRule="auto"/>
        <w:ind w:firstLine="560" w:firstLineChars="200"/>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 xml:space="preserve">联 系 人：薛律师     </w:t>
      </w:r>
      <w:r>
        <w:rPr>
          <w:rFonts w:hint="eastAsia" w:ascii="仿宋" w:hAnsi="仿宋" w:eastAsia="仿宋" w:cs="仿宋"/>
          <w:sz w:val="28"/>
          <w:szCs w:val="36"/>
        </w:rPr>
        <w:t xml:space="preserve">联系电话：+86 </w:t>
      </w:r>
      <w:r>
        <w:rPr>
          <w:rFonts w:ascii="仿宋" w:hAnsi="仿宋" w:eastAsia="仿宋" w:cs="仿宋"/>
          <w:sz w:val="28"/>
          <w:szCs w:val="36"/>
        </w:rPr>
        <w:t>1</w:t>
      </w:r>
      <w:r>
        <w:rPr>
          <w:rFonts w:hint="eastAsia" w:ascii="仿宋" w:hAnsi="仿宋" w:eastAsia="仿宋" w:cs="仿宋"/>
          <w:sz w:val="28"/>
          <w:szCs w:val="36"/>
          <w:lang w:val="en-US" w:eastAsia="zh-CN"/>
        </w:rPr>
        <w:t>89</w:t>
      </w:r>
      <w:r>
        <w:rPr>
          <w:rFonts w:hint="eastAsia" w:ascii="仿宋" w:hAnsi="仿宋" w:eastAsia="仿宋" w:cs="仿宋"/>
          <w:sz w:val="28"/>
          <w:szCs w:val="36"/>
        </w:rPr>
        <w:t xml:space="preserve"> </w:t>
      </w:r>
      <w:r>
        <w:rPr>
          <w:rFonts w:hint="eastAsia" w:ascii="仿宋" w:hAnsi="仿宋" w:eastAsia="仿宋" w:cs="仿宋"/>
          <w:sz w:val="28"/>
          <w:szCs w:val="36"/>
          <w:lang w:val="en-US" w:eastAsia="zh-CN"/>
        </w:rPr>
        <w:t>8085</w:t>
      </w:r>
      <w:r>
        <w:rPr>
          <w:rFonts w:hint="eastAsia" w:ascii="仿宋" w:hAnsi="仿宋" w:eastAsia="仿宋" w:cs="仿宋"/>
          <w:sz w:val="28"/>
          <w:szCs w:val="36"/>
        </w:rPr>
        <w:t xml:space="preserve"> </w:t>
      </w:r>
      <w:r>
        <w:rPr>
          <w:rFonts w:hint="eastAsia" w:ascii="仿宋" w:hAnsi="仿宋" w:eastAsia="仿宋" w:cs="仿宋"/>
          <w:sz w:val="28"/>
          <w:szCs w:val="36"/>
          <w:lang w:val="en-US" w:eastAsia="zh-CN"/>
        </w:rPr>
        <w:t>9656</w:t>
      </w:r>
    </w:p>
    <w:p w14:paraId="3F74022E">
      <w:pPr>
        <w:adjustRightInd w:val="0"/>
        <w:snapToGrid w:val="0"/>
        <w:spacing w:line="360" w:lineRule="auto"/>
        <w:ind w:firstLine="560" w:firstLineChars="200"/>
        <w:rPr>
          <w:rFonts w:ascii="仿宋" w:hAnsi="仿宋" w:eastAsia="仿宋" w:cs="仿宋"/>
          <w:b/>
          <w:bCs/>
          <w:spacing w:val="11"/>
        </w:rPr>
      </w:pPr>
      <w:r>
        <w:rPr>
          <w:rFonts w:hint="eastAsia" w:ascii="仿宋" w:hAnsi="仿宋" w:eastAsia="仿宋" w:cs="仿宋"/>
          <w:sz w:val="28"/>
          <w:szCs w:val="36"/>
          <w:lang w:val="en-US" w:eastAsia="zh-CN"/>
        </w:rPr>
        <w:t xml:space="preserve"> </w:t>
      </w:r>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imsun, 宋体, nsimsun, stsong, se">
    <w:altName w:val="宋体"/>
    <w:panose1 w:val="00000000000000000000"/>
    <w:charset w:val="86"/>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1035236"/>
      <w:docPartObj>
        <w:docPartGallery w:val="autotext"/>
      </w:docPartObj>
    </w:sdtPr>
    <w:sdtContent>
      <w:sdt>
        <w:sdtPr>
          <w:rPr>
            <w:rFonts w:ascii="仿宋" w:hAnsi="仿宋" w:eastAsia="仿宋"/>
          </w:rPr>
          <w:id w:val="-1669238322"/>
          <w:docPartObj>
            <w:docPartGallery w:val="autotext"/>
          </w:docPartObj>
        </w:sdtPr>
        <w:sdtEndPr>
          <w:rPr>
            <w:rFonts w:ascii="仿宋" w:hAnsi="仿宋" w:eastAsia="仿宋"/>
          </w:rPr>
        </w:sdtEndPr>
        <w:sdtContent>
          <w:p w14:paraId="2EF2B99D">
            <w:pPr>
              <w:pStyle w:val="5"/>
              <w:jc w:val="center"/>
            </w:pPr>
            <w:r>
              <w:rPr>
                <w:rFonts w:ascii="仿宋" w:hAnsi="仿宋" w:eastAsia="仿宋"/>
              </w:rPr>
              <w:t>第</w:t>
            </w:r>
            <w:r>
              <w:rPr>
                <w:rFonts w:ascii="仿宋" w:hAnsi="仿宋" w:eastAsia="仿宋"/>
                <w:bCs/>
              </w:rPr>
              <w:fldChar w:fldCharType="begin"/>
            </w:r>
            <w:r>
              <w:rPr>
                <w:rFonts w:ascii="仿宋" w:hAnsi="仿宋" w:eastAsia="仿宋"/>
                <w:bCs/>
              </w:rPr>
              <w:instrText xml:space="preserve">PAGE</w:instrText>
            </w:r>
            <w:r>
              <w:rPr>
                <w:rFonts w:ascii="仿宋" w:hAnsi="仿宋" w:eastAsia="仿宋"/>
                <w:bCs/>
              </w:rPr>
              <w:fldChar w:fldCharType="separate"/>
            </w:r>
            <w:r>
              <w:rPr>
                <w:rFonts w:ascii="仿宋" w:hAnsi="仿宋" w:eastAsia="仿宋"/>
                <w:bCs/>
              </w:rPr>
              <w:t>11</w:t>
            </w:r>
            <w:r>
              <w:rPr>
                <w:rFonts w:ascii="仿宋" w:hAnsi="仿宋" w:eastAsia="仿宋"/>
                <w:bCs/>
              </w:rPr>
              <w:fldChar w:fldCharType="end"/>
            </w:r>
            <w:r>
              <w:rPr>
                <w:rFonts w:ascii="仿宋" w:hAnsi="仿宋" w:eastAsia="仿宋"/>
                <w:bCs/>
              </w:rPr>
              <w:t>页</w:t>
            </w:r>
            <w:r>
              <w:rPr>
                <w:rFonts w:ascii="仿宋" w:hAnsi="仿宋" w:eastAsia="仿宋"/>
                <w:lang w:val="zh-CN"/>
              </w:rPr>
              <w:t xml:space="preserve"> 共</w:t>
            </w:r>
            <w:r>
              <w:rPr>
                <w:rFonts w:ascii="仿宋" w:hAnsi="仿宋" w:eastAsia="仿宋"/>
                <w:bCs/>
              </w:rPr>
              <w:fldChar w:fldCharType="begin"/>
            </w:r>
            <w:r>
              <w:rPr>
                <w:rFonts w:ascii="仿宋" w:hAnsi="仿宋" w:eastAsia="仿宋"/>
                <w:bCs/>
              </w:rPr>
              <w:instrText xml:space="preserve">NUMPAGES</w:instrText>
            </w:r>
            <w:r>
              <w:rPr>
                <w:rFonts w:ascii="仿宋" w:hAnsi="仿宋" w:eastAsia="仿宋"/>
                <w:bCs/>
              </w:rPr>
              <w:fldChar w:fldCharType="separate"/>
            </w:r>
            <w:r>
              <w:rPr>
                <w:rFonts w:ascii="仿宋" w:hAnsi="仿宋" w:eastAsia="仿宋"/>
                <w:bCs/>
              </w:rPr>
              <w:t>16</w:t>
            </w:r>
            <w:r>
              <w:rPr>
                <w:rFonts w:ascii="仿宋" w:hAnsi="仿宋" w:eastAsia="仿宋"/>
                <w:bCs/>
              </w:rPr>
              <w:fldChar w:fldCharType="end"/>
            </w:r>
            <w:r>
              <w:rPr>
                <w:rFonts w:ascii="仿宋" w:hAnsi="仿宋" w:eastAsia="仿宋"/>
                <w:bCs/>
              </w:rPr>
              <w:t>页</w:t>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8C"/>
    <w:rsid w:val="000826B5"/>
    <w:rsid w:val="000A73F3"/>
    <w:rsid w:val="000C1A7B"/>
    <w:rsid w:val="001266FC"/>
    <w:rsid w:val="001F67E0"/>
    <w:rsid w:val="002427F3"/>
    <w:rsid w:val="0026705F"/>
    <w:rsid w:val="00267CF1"/>
    <w:rsid w:val="00281B4A"/>
    <w:rsid w:val="00322762"/>
    <w:rsid w:val="003F29AA"/>
    <w:rsid w:val="004726FD"/>
    <w:rsid w:val="00532781"/>
    <w:rsid w:val="00557F16"/>
    <w:rsid w:val="0058147B"/>
    <w:rsid w:val="005A05EC"/>
    <w:rsid w:val="00671782"/>
    <w:rsid w:val="00672E34"/>
    <w:rsid w:val="006E200C"/>
    <w:rsid w:val="006F43E0"/>
    <w:rsid w:val="007008C6"/>
    <w:rsid w:val="007157BE"/>
    <w:rsid w:val="007E5C73"/>
    <w:rsid w:val="007F4211"/>
    <w:rsid w:val="00853D66"/>
    <w:rsid w:val="008823BC"/>
    <w:rsid w:val="0088496D"/>
    <w:rsid w:val="008B75CB"/>
    <w:rsid w:val="008F172B"/>
    <w:rsid w:val="00935F8C"/>
    <w:rsid w:val="00A047D0"/>
    <w:rsid w:val="00A11E90"/>
    <w:rsid w:val="00A16591"/>
    <w:rsid w:val="00A76CFF"/>
    <w:rsid w:val="00AB7FD5"/>
    <w:rsid w:val="00C8000E"/>
    <w:rsid w:val="00C91873"/>
    <w:rsid w:val="00CD7D3F"/>
    <w:rsid w:val="00CE46EF"/>
    <w:rsid w:val="00D479A5"/>
    <w:rsid w:val="00DA2653"/>
    <w:rsid w:val="00E83328"/>
    <w:rsid w:val="00EC4AFA"/>
    <w:rsid w:val="00EE0ABE"/>
    <w:rsid w:val="00EF3935"/>
    <w:rsid w:val="00F12E2F"/>
    <w:rsid w:val="00F40D53"/>
    <w:rsid w:val="00F557B0"/>
    <w:rsid w:val="00FD6E12"/>
    <w:rsid w:val="16FA6CCA"/>
    <w:rsid w:val="2EC15322"/>
    <w:rsid w:val="334E2C5D"/>
    <w:rsid w:val="34D14385"/>
    <w:rsid w:val="38901BBF"/>
    <w:rsid w:val="53AF0E0E"/>
    <w:rsid w:val="73474358"/>
    <w:rsid w:val="7BC02341"/>
    <w:rsid w:val="EAD74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0"/>
    <w:qFormat/>
    <w:uiPriority w:val="0"/>
    <w:pPr>
      <w:jc w:val="left"/>
    </w:pPr>
  </w:style>
  <w:style w:type="paragraph" w:styleId="3">
    <w:name w:val="Body Text Indent"/>
    <w:basedOn w:val="1"/>
    <w:unhideWhenUsed/>
    <w:qFormat/>
    <w:uiPriority w:val="0"/>
    <w:pPr>
      <w:spacing w:after="120"/>
      <w:ind w:left="420" w:leftChars="200"/>
    </w:pPr>
  </w:style>
  <w:style w:type="paragraph" w:styleId="4">
    <w:name w:val="Balloon Text"/>
    <w:basedOn w:val="1"/>
    <w:link w:val="16"/>
    <w:uiPriority w:val="0"/>
    <w:rPr>
      <w:rFonts w:ascii="宋体" w:eastAsia="宋体"/>
      <w:sz w:val="18"/>
      <w:szCs w:val="18"/>
    </w:rPr>
  </w:style>
  <w:style w:type="paragraph" w:styleId="5">
    <w:name w:val="footer"/>
    <w:basedOn w:val="1"/>
    <w:link w:val="19"/>
    <w:uiPriority w:val="99"/>
    <w:pPr>
      <w:tabs>
        <w:tab w:val="center" w:pos="4153"/>
        <w:tab w:val="right" w:pos="8306"/>
      </w:tabs>
      <w:snapToGrid w:val="0"/>
      <w:jc w:val="left"/>
    </w:pPr>
    <w:rPr>
      <w:sz w:val="18"/>
      <w:szCs w:val="18"/>
    </w:rPr>
  </w:style>
  <w:style w:type="paragraph" w:styleId="6">
    <w:name w:val="header"/>
    <w:basedOn w:val="1"/>
    <w:link w:val="18"/>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line="360" w:lineRule="auto"/>
    </w:pPr>
  </w:style>
  <w:style w:type="paragraph" w:styleId="8">
    <w:name w:val="annotation subject"/>
    <w:basedOn w:val="2"/>
    <w:next w:val="2"/>
    <w:link w:val="21"/>
    <w:qFormat/>
    <w:uiPriority w:val="0"/>
    <w:rPr>
      <w:b/>
      <w:bCs/>
    </w:rPr>
  </w:style>
  <w:style w:type="paragraph" w:styleId="9">
    <w:name w:val="Body Text First Indent 2"/>
    <w:basedOn w:val="3"/>
    <w:qFormat/>
    <w:uiPriority w:val="0"/>
    <w:pPr>
      <w:spacing w:line="360" w:lineRule="auto"/>
      <w:ind w:left="0" w:leftChars="0"/>
    </w:pPr>
    <w:rPr>
      <w:rFonts w:eastAsia="仿宋"/>
      <w:szCs w:val="2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null15"/>
    <w:hidden/>
    <w:qFormat/>
    <w:uiPriority w:val="0"/>
    <w:rPr>
      <w:rFonts w:hint="eastAsia" w:ascii="宋体" w:hAnsi="宋体" w:eastAsia="宋体" w:cs="宋体"/>
      <w:sz w:val="24"/>
      <w:szCs w:val="24"/>
      <w:lang w:val="en-US" w:eastAsia="zh-Hans" w:bidi="ar-SA"/>
    </w:rPr>
  </w:style>
  <w:style w:type="character" w:customStyle="1" w:styleId="16">
    <w:name w:val="批注框文本 Char"/>
    <w:basedOn w:val="12"/>
    <w:link w:val="4"/>
    <w:qFormat/>
    <w:uiPriority w:val="0"/>
    <w:rPr>
      <w:rFonts w:ascii="宋体" w:eastAsia="宋体"/>
      <w:kern w:val="2"/>
      <w:sz w:val="18"/>
      <w:szCs w:val="18"/>
    </w:rPr>
  </w:style>
  <w:style w:type="paragraph" w:styleId="17">
    <w:name w:val="List Paragraph"/>
    <w:basedOn w:val="1"/>
    <w:unhideWhenUsed/>
    <w:qFormat/>
    <w:uiPriority w:val="99"/>
    <w:pPr>
      <w:ind w:firstLine="420" w:firstLineChars="200"/>
    </w:pPr>
  </w:style>
  <w:style w:type="character" w:customStyle="1" w:styleId="18">
    <w:name w:val="页眉 Char"/>
    <w:basedOn w:val="12"/>
    <w:link w:val="6"/>
    <w:qFormat/>
    <w:uiPriority w:val="0"/>
    <w:rPr>
      <w:kern w:val="2"/>
      <w:sz w:val="18"/>
      <w:szCs w:val="18"/>
    </w:rPr>
  </w:style>
  <w:style w:type="character" w:customStyle="1" w:styleId="19">
    <w:name w:val="页脚 Char"/>
    <w:basedOn w:val="12"/>
    <w:link w:val="5"/>
    <w:qFormat/>
    <w:uiPriority w:val="99"/>
    <w:rPr>
      <w:kern w:val="2"/>
      <w:sz w:val="18"/>
      <w:szCs w:val="18"/>
    </w:rPr>
  </w:style>
  <w:style w:type="character" w:customStyle="1" w:styleId="20">
    <w:name w:val="批注文字 Char"/>
    <w:basedOn w:val="12"/>
    <w:link w:val="2"/>
    <w:qFormat/>
    <w:uiPriority w:val="0"/>
    <w:rPr>
      <w:kern w:val="2"/>
      <w:sz w:val="21"/>
      <w:szCs w:val="24"/>
    </w:rPr>
  </w:style>
  <w:style w:type="character" w:customStyle="1" w:styleId="21">
    <w:name w:val="批注主题 Char"/>
    <w:basedOn w:val="20"/>
    <w:link w:val="8"/>
    <w:qFormat/>
    <w:uiPriority w:val="0"/>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北京京师（成都）律师事务所</Company>
  <Pages>3</Pages>
  <Words>5381</Words>
  <Characters>5580</Characters>
  <Lines>44</Lines>
  <Paragraphs>12</Paragraphs>
  <TotalTime>5</TotalTime>
  <ScaleCrop>false</ScaleCrop>
  <LinksUpToDate>false</LinksUpToDate>
  <CharactersWithSpaces>5944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2026-03-14T12:21:00Z</dcterms:created>
  <dc:creator>DLL</dc:creator>
  <cp:lastModifiedBy>薛律师</cp:lastModifiedBy>
  <cp:lastPrinted>2026-03-14T12:22:00Z</cp:lastPrinted>
  <dcterms:modified xsi:type="dcterms:W3CDTF">2026-03-14T13:47:26Z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eyJoZGlkIjoiMzEwNTM5NzYwMDRjMzkwZTVkZjY2ODkwMGIxNGU0OTUiLCJ1c2VySWQiOiIyMzAzMDM3MjUifQ==</vt:lpwstr>
  </property>
  <property fmtid="{D5CDD505-2E9C-101B-9397-08002B2CF9AE}" pid="4" name="ICV">
    <vt:lpwstr>3E1D9CB1671C4D7D857D13E41DA16E3E_13</vt:lpwstr>
  </property>
</Properties>
</file>