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A77B9">
      <w:pPr>
        <w:pStyle w:val="12"/>
        <w:ind w:left="0" w:leftChars="0" w:firstLine="0" w:firstLineChars="0"/>
        <w:jc w:val="center"/>
        <w:rPr>
          <w:rFonts w:hint="eastAsia"/>
          <w:b/>
          <w:bCs/>
          <w:sz w:val="32"/>
          <w:szCs w:val="22"/>
          <w:lang w:val="en-US" w:eastAsia="zh-CN"/>
        </w:rPr>
      </w:pPr>
      <w:r>
        <w:rPr>
          <w:rFonts w:hint="eastAsia"/>
          <w:b/>
          <w:bCs/>
          <w:sz w:val="32"/>
          <w:szCs w:val="22"/>
        </w:rPr>
        <w:t>毕节市梧桐房地产开发有限公司</w:t>
      </w:r>
      <w:r>
        <w:rPr>
          <w:rFonts w:hint="eastAsia"/>
          <w:b/>
          <w:bCs/>
          <w:sz w:val="32"/>
          <w:szCs w:val="22"/>
          <w:lang w:val="en-US" w:eastAsia="zh-CN"/>
        </w:rPr>
        <w:t>预重整案</w:t>
      </w:r>
    </w:p>
    <w:p w14:paraId="487DF273">
      <w:pPr>
        <w:pStyle w:val="12"/>
        <w:ind w:left="0" w:leftChars="0" w:firstLine="0" w:firstLineChars="0"/>
        <w:jc w:val="center"/>
        <w:rPr>
          <w:rFonts w:hint="eastAsia" w:eastAsia="宋体"/>
          <w:b/>
          <w:bCs/>
          <w:sz w:val="32"/>
          <w:szCs w:val="22"/>
          <w:lang w:eastAsia="zh-CN"/>
        </w:rPr>
      </w:pPr>
      <w:r>
        <w:rPr>
          <w:rFonts w:hint="eastAsia"/>
          <w:b/>
          <w:bCs/>
          <w:sz w:val="32"/>
          <w:szCs w:val="22"/>
          <w:lang w:val="en-US" w:eastAsia="zh-CN"/>
        </w:rPr>
        <w:t>监理单位</w:t>
      </w:r>
      <w:r>
        <w:rPr>
          <w:rFonts w:hint="eastAsia"/>
          <w:b/>
          <w:bCs/>
          <w:sz w:val="32"/>
          <w:szCs w:val="22"/>
        </w:rPr>
        <w:t>招募公告</w:t>
      </w:r>
    </w:p>
    <w:p w14:paraId="4873866B">
      <w:pPr>
        <w:pStyle w:val="12"/>
        <w:ind w:left="0" w:leftChars="0" w:firstLine="480" w:firstLineChars="200"/>
      </w:pPr>
      <w:r>
        <w:rPr>
          <w:rFonts w:hint="eastAsia"/>
        </w:rPr>
        <w:t>贵州省毕节市七星关区人民法院</w:t>
      </w:r>
      <w:r>
        <w:t>于202</w:t>
      </w:r>
      <w:r>
        <w:rPr>
          <w:rFonts w:hint="eastAsia"/>
          <w:lang w:val="en-US" w:eastAsia="zh-CN"/>
        </w:rPr>
        <w:t>5</w:t>
      </w:r>
      <w:r>
        <w:t>年</w:t>
      </w:r>
      <w:r>
        <w:rPr>
          <w:rFonts w:hint="eastAsia"/>
          <w:lang w:val="en-US" w:eastAsia="zh-CN"/>
        </w:rPr>
        <w:t>12</w:t>
      </w:r>
      <w:r>
        <w:t>月</w:t>
      </w:r>
      <w:r>
        <w:rPr>
          <w:rFonts w:hint="eastAsia"/>
          <w:lang w:val="en-US" w:eastAsia="zh-CN"/>
        </w:rPr>
        <w:t>24</w:t>
      </w:r>
      <w:r>
        <w:t>日作出</w:t>
      </w:r>
      <w:r>
        <w:rPr>
          <w:rFonts w:hint="eastAsia"/>
          <w:lang w:eastAsia="zh-CN"/>
        </w:rPr>
        <w:t>（</w:t>
      </w:r>
      <w:r>
        <w:rPr>
          <w:rFonts w:hint="eastAsia"/>
        </w:rPr>
        <w:t>2025</w:t>
      </w:r>
      <w:r>
        <w:rPr>
          <w:rFonts w:hint="eastAsia"/>
          <w:lang w:eastAsia="zh-CN"/>
        </w:rPr>
        <w:t>）</w:t>
      </w:r>
      <w:r>
        <w:rPr>
          <w:rFonts w:hint="eastAsia"/>
        </w:rPr>
        <w:t>黔0502破申24号</w:t>
      </w:r>
      <w:r>
        <w:t>《</w:t>
      </w:r>
      <w:r>
        <w:rPr>
          <w:rFonts w:hint="eastAsia"/>
          <w:lang w:val="en-US" w:eastAsia="zh-CN"/>
        </w:rPr>
        <w:t>决定书</w:t>
      </w:r>
      <w:r>
        <w:t>》，</w:t>
      </w:r>
      <w:r>
        <w:rPr>
          <w:rFonts w:hint="eastAsia"/>
        </w:rPr>
        <w:t>决定对毕节市梧桐房地产开发有限公司（以下简称“</w:t>
      </w:r>
      <w:r>
        <w:rPr>
          <w:rFonts w:hint="eastAsia"/>
          <w:lang w:eastAsia="zh-CN"/>
        </w:rPr>
        <w:t>梧桐房开</w:t>
      </w:r>
      <w:r>
        <w:rPr>
          <w:rFonts w:hint="eastAsia"/>
        </w:rPr>
        <w:t>”</w:t>
      </w:r>
      <w:r>
        <w:rPr>
          <w:rFonts w:hint="eastAsia"/>
          <w:lang w:val="en-US" w:eastAsia="zh-CN"/>
        </w:rPr>
        <w:t>或“债务人”</w:t>
      </w:r>
      <w:r>
        <w:rPr>
          <w:rFonts w:hint="eastAsia"/>
        </w:rPr>
        <w:t>）进行预重整</w:t>
      </w:r>
      <w:r>
        <w:t>，并于同日作出</w:t>
      </w:r>
      <w:r>
        <w:rPr>
          <w:rFonts w:hint="eastAsia"/>
          <w:lang w:eastAsia="zh-CN"/>
        </w:rPr>
        <w:t>（</w:t>
      </w:r>
      <w:r>
        <w:rPr>
          <w:rFonts w:hint="eastAsia"/>
        </w:rPr>
        <w:t>2025</w:t>
      </w:r>
      <w:r>
        <w:rPr>
          <w:rFonts w:hint="eastAsia"/>
          <w:lang w:eastAsia="zh-CN"/>
        </w:rPr>
        <w:t>）</w:t>
      </w:r>
      <w:r>
        <w:rPr>
          <w:rFonts w:hint="eastAsia"/>
        </w:rPr>
        <w:t>黔0502破申24号</w:t>
      </w:r>
      <w:r>
        <w:t>之一《决定书》，</w:t>
      </w:r>
      <w:r>
        <w:rPr>
          <w:rFonts w:hint="eastAsia"/>
        </w:rPr>
        <w:t>毕节市七星关区推动梧桐凤凰城项目资产盘活工作专班和四川豪诚企业清算事务所有限公司贵州分公司担任</w:t>
      </w:r>
      <w:r>
        <w:rPr>
          <w:rFonts w:hint="eastAsia"/>
          <w:lang w:eastAsia="zh-CN"/>
        </w:rPr>
        <w:t>梧桐房开</w:t>
      </w:r>
      <w:r>
        <w:rPr>
          <w:rFonts w:hint="eastAsia"/>
        </w:rPr>
        <w:t>预重整期间的临时管理人</w:t>
      </w:r>
      <w:r>
        <w:t>（以下简称“临时管理人”）。为保障</w:t>
      </w:r>
      <w:r>
        <w:rPr>
          <w:rFonts w:hint="eastAsia"/>
          <w:lang w:eastAsia="zh-CN"/>
        </w:rPr>
        <w:t>梧桐房开</w:t>
      </w:r>
      <w:r>
        <w:t>顺利重整，</w:t>
      </w:r>
      <w:r>
        <w:rPr>
          <w:lang w:val="en-US" w:eastAsia="zh-CN"/>
        </w:rPr>
        <w:t>保障项目资产价值，维护全体债权人合法权益，</w:t>
      </w:r>
      <w:r>
        <w:rPr>
          <w:rFonts w:hint="eastAsia"/>
          <w:lang w:val="en-US" w:eastAsia="zh-CN"/>
        </w:rPr>
        <w:t>毕节市梧桐房地产开发有限公司临时</w:t>
      </w:r>
      <w:r>
        <w:rPr>
          <w:lang w:val="en-US" w:eastAsia="zh-CN"/>
        </w:rPr>
        <w:t>管理人(以下简称“</w:t>
      </w:r>
      <w:r>
        <w:rPr>
          <w:rFonts w:hint="eastAsia"/>
          <w:lang w:val="en-US" w:eastAsia="zh-CN"/>
        </w:rPr>
        <w:t>临时</w:t>
      </w:r>
      <w:r>
        <w:rPr>
          <w:lang w:val="en-US" w:eastAsia="zh-CN"/>
        </w:rPr>
        <w:t>管理人”)现面向社会公开招募本项目的监理服务机构。现将有关事项公告如下：</w:t>
      </w:r>
    </w:p>
    <w:p w14:paraId="36B931BC">
      <w:pPr>
        <w:pStyle w:val="12"/>
        <w:ind w:left="0" w:leftChars="0" w:firstLine="480" w:firstLineChars="200"/>
        <w:rPr>
          <w:rFonts w:hint="eastAsia" w:ascii="黑体" w:hAnsi="黑体" w:eastAsia="黑体" w:cs="黑体"/>
        </w:rPr>
      </w:pPr>
      <w:r>
        <w:rPr>
          <w:rFonts w:hint="eastAsia" w:ascii="黑体" w:hAnsi="黑体" w:eastAsia="黑体" w:cs="黑体"/>
        </w:rPr>
        <w:t>一、</w:t>
      </w:r>
      <w:r>
        <w:rPr>
          <w:rFonts w:hint="eastAsia" w:ascii="黑体" w:hAnsi="黑体" w:eastAsia="黑体" w:cs="黑体"/>
          <w:lang w:eastAsia="zh-CN"/>
        </w:rPr>
        <w:t>梧桐房开</w:t>
      </w:r>
      <w:r>
        <w:rPr>
          <w:rFonts w:hint="eastAsia" w:ascii="黑体" w:hAnsi="黑体" w:eastAsia="黑体" w:cs="黑体"/>
        </w:rPr>
        <w:t>概况</w:t>
      </w:r>
    </w:p>
    <w:p w14:paraId="51D460E1">
      <w:pPr>
        <w:pStyle w:val="12"/>
        <w:ind w:left="0" w:leftChars="0" w:firstLine="480" w:firstLineChars="200"/>
        <w:rPr>
          <w:rFonts w:hint="eastAsia"/>
        </w:rPr>
      </w:pPr>
      <w:r>
        <w:rPr>
          <w:rFonts w:hint="eastAsia"/>
        </w:rPr>
        <w:t>（一）工商基本信息</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9"/>
        <w:gridCol w:w="5663"/>
      </w:tblGrid>
      <w:tr w14:paraId="092FA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31EF5558">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企业名称</w:t>
            </w:r>
          </w:p>
        </w:tc>
        <w:tc>
          <w:tcPr>
            <w:tcW w:w="5663" w:type="dxa"/>
          </w:tcPr>
          <w:p w14:paraId="3142F61C">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毕节市梧桐房地产开发有限公司</w:t>
            </w:r>
          </w:p>
        </w:tc>
      </w:tr>
      <w:tr w14:paraId="5851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497F5A66">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公司类型</w:t>
            </w:r>
          </w:p>
        </w:tc>
        <w:tc>
          <w:tcPr>
            <w:tcW w:w="5663" w:type="dxa"/>
          </w:tcPr>
          <w:p w14:paraId="62A267E1">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有限责任公司（自然人投资或控股）</w:t>
            </w:r>
          </w:p>
        </w:tc>
      </w:tr>
      <w:tr w14:paraId="596B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2542D847">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法定代表人</w:t>
            </w:r>
          </w:p>
        </w:tc>
        <w:tc>
          <w:tcPr>
            <w:tcW w:w="5663" w:type="dxa"/>
          </w:tcPr>
          <w:p w14:paraId="26604ABC">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陈桐</w:t>
            </w:r>
          </w:p>
        </w:tc>
      </w:tr>
      <w:tr w14:paraId="7194D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6611D795">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统一社会信用代码</w:t>
            </w:r>
          </w:p>
        </w:tc>
        <w:tc>
          <w:tcPr>
            <w:tcW w:w="5663" w:type="dxa"/>
          </w:tcPr>
          <w:p w14:paraId="12EF93AE">
            <w:pPr>
              <w:pStyle w:val="12"/>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915205003087666436</w:t>
            </w:r>
          </w:p>
        </w:tc>
      </w:tr>
      <w:tr w14:paraId="0ED2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53F90C73">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注册资本金</w:t>
            </w:r>
          </w:p>
        </w:tc>
        <w:tc>
          <w:tcPr>
            <w:tcW w:w="5663" w:type="dxa"/>
          </w:tcPr>
          <w:p w14:paraId="0CD25BB1">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5000万元人民币</w:t>
            </w:r>
          </w:p>
        </w:tc>
      </w:tr>
      <w:tr w14:paraId="7AC8E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1C7E0AE4">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成立时间</w:t>
            </w:r>
          </w:p>
        </w:tc>
        <w:tc>
          <w:tcPr>
            <w:tcW w:w="5663" w:type="dxa"/>
          </w:tcPr>
          <w:p w14:paraId="3310AFFD">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2014-07-16</w:t>
            </w:r>
          </w:p>
        </w:tc>
      </w:tr>
      <w:tr w14:paraId="4F9F1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4E82D613">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住所</w:t>
            </w:r>
          </w:p>
        </w:tc>
        <w:tc>
          <w:tcPr>
            <w:tcW w:w="5663" w:type="dxa"/>
          </w:tcPr>
          <w:p w14:paraId="0D5BADD6">
            <w:pPr>
              <w:pStyle w:val="12"/>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贵州省毕节市金海湖新区办事处旁</w:t>
            </w:r>
          </w:p>
        </w:tc>
      </w:tr>
      <w:tr w14:paraId="08377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24F327DA">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股东及持股比例</w:t>
            </w:r>
          </w:p>
        </w:tc>
        <w:tc>
          <w:tcPr>
            <w:tcW w:w="5663" w:type="dxa"/>
          </w:tcPr>
          <w:p w14:paraId="2938A98D">
            <w:pPr>
              <w:pStyle w:val="12"/>
              <w:ind w:left="479" w:leftChars="228" w:firstLine="0" w:firstLineChars="0"/>
              <w:jc w:val="both"/>
              <w:rPr>
                <w:rFonts w:hint="default" w:ascii="Times New Roman" w:hAnsi="Times New Roman" w:cs="Times New Roman"/>
                <w:lang w:val="en-US" w:eastAsia="zh-CN"/>
              </w:rPr>
            </w:pPr>
            <w:r>
              <w:rPr>
                <w:rFonts w:hint="eastAsia" w:ascii="Times New Roman" w:hAnsi="Times New Roman" w:cs="Times New Roman"/>
                <w:lang w:val="en-US" w:eastAsia="zh-CN"/>
              </w:rPr>
              <w:t>股东1：陈桐，95%</w:t>
            </w:r>
            <w:r>
              <w:rPr>
                <w:rFonts w:hint="eastAsia" w:ascii="Times New Roman" w:hAnsi="Times New Roman" w:cs="Times New Roman"/>
                <w:lang w:val="en-US" w:eastAsia="zh-CN"/>
              </w:rPr>
              <w:br w:type="textWrapping"/>
            </w:r>
            <w:r>
              <w:rPr>
                <w:rFonts w:hint="eastAsia" w:ascii="Times New Roman" w:hAnsi="Times New Roman" w:cs="Times New Roman"/>
                <w:lang w:val="en-US" w:eastAsia="zh-CN"/>
              </w:rPr>
              <w:t>股东2：沈国远，5%</w:t>
            </w:r>
          </w:p>
        </w:tc>
      </w:tr>
      <w:tr w14:paraId="706FB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191E0FE4">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经营范围</w:t>
            </w:r>
          </w:p>
        </w:tc>
        <w:tc>
          <w:tcPr>
            <w:tcW w:w="5663" w:type="dxa"/>
          </w:tcPr>
          <w:p w14:paraId="0FC53F41">
            <w:pPr>
              <w:pStyle w:val="12"/>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房地产开发；物业咨询管理；非金融性项目投资；房屋中介；房屋销售。</w:t>
            </w:r>
          </w:p>
        </w:tc>
      </w:tr>
      <w:tr w14:paraId="6D96D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48817A2D">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登记状态</w:t>
            </w:r>
          </w:p>
        </w:tc>
        <w:tc>
          <w:tcPr>
            <w:tcW w:w="5663" w:type="dxa"/>
          </w:tcPr>
          <w:p w14:paraId="13B43994">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存续</w:t>
            </w:r>
          </w:p>
        </w:tc>
      </w:tr>
    </w:tbl>
    <w:p w14:paraId="546D3966">
      <w:pPr>
        <w:pStyle w:val="12"/>
        <w:ind w:left="0" w:leftChars="0" w:firstLine="480" w:firstLineChars="200"/>
        <w:rPr>
          <w:rFonts w:hint="eastAsia"/>
        </w:rPr>
      </w:pPr>
      <w:r>
        <w:rPr>
          <w:rFonts w:hint="eastAsia"/>
        </w:rPr>
        <w:t>（二）</w:t>
      </w:r>
      <w:r>
        <w:rPr>
          <w:rFonts w:hint="eastAsia"/>
          <w:lang w:val="en-US" w:eastAsia="zh-CN"/>
        </w:rPr>
        <w:t>项目基本</w:t>
      </w:r>
      <w:r>
        <w:rPr>
          <w:rFonts w:hint="eastAsia"/>
        </w:rPr>
        <w:t>情况</w:t>
      </w:r>
    </w:p>
    <w:p w14:paraId="2D244081">
      <w:pPr>
        <w:pStyle w:val="12"/>
        <w:ind w:left="0" w:leftChars="0" w:firstLine="480" w:firstLineChars="200"/>
        <w:rPr>
          <w:rFonts w:hint="eastAsia"/>
          <w:highlight w:val="none"/>
        </w:rPr>
      </w:pPr>
      <w:r>
        <w:rPr>
          <w:rFonts w:hint="eastAsia"/>
          <w:highlight w:val="none"/>
          <w:lang w:eastAsia="zh-CN"/>
        </w:rPr>
        <w:t>梧桐房开在取得位于毕节市金海湖新区办事处杨柳村，瓦厂村、平乡村共计161</w:t>
      </w:r>
      <w:r>
        <w:rPr>
          <w:rFonts w:hint="eastAsia"/>
          <w:highlight w:val="none"/>
          <w:lang w:val="en-US" w:eastAsia="zh-CN"/>
        </w:rPr>
        <w:t>,</w:t>
      </w:r>
      <w:r>
        <w:rPr>
          <w:rFonts w:hint="eastAsia"/>
          <w:highlight w:val="none"/>
          <w:lang w:eastAsia="zh-CN"/>
        </w:rPr>
        <w:t>064.38㎡土地使用权后，</w:t>
      </w:r>
      <w:r>
        <w:rPr>
          <w:highlight w:val="none"/>
        </w:rPr>
        <w:t>在该地上开发了</w:t>
      </w:r>
      <w:r>
        <w:rPr>
          <w:rFonts w:hint="eastAsia"/>
          <w:highlight w:val="none"/>
          <w:lang w:eastAsia="zh-CN"/>
        </w:rPr>
        <w:t>“梧桐·凤凰城”项目</w:t>
      </w:r>
      <w:r>
        <w:rPr>
          <w:highlight w:val="none"/>
        </w:rPr>
        <w:t>。</w:t>
      </w:r>
      <w:r>
        <w:rPr>
          <w:rFonts w:hint="eastAsia"/>
          <w:highlight w:val="none"/>
        </w:rPr>
        <w:t>该项目用地面积为</w:t>
      </w:r>
      <w:r>
        <w:rPr>
          <w:rFonts w:hint="eastAsia"/>
          <w:highlight w:val="none"/>
          <w:lang w:val="en-US" w:eastAsia="zh-CN"/>
        </w:rPr>
        <w:t>46,266.91</w:t>
      </w:r>
      <w:r>
        <w:rPr>
          <w:rFonts w:hint="eastAsia"/>
          <w:highlight w:val="none"/>
        </w:rPr>
        <w:t>㎡，总建筑面积为</w:t>
      </w:r>
      <w:r>
        <w:rPr>
          <w:rFonts w:hint="eastAsia"/>
          <w:highlight w:val="none"/>
          <w:lang w:val="en-US" w:eastAsia="zh-CN"/>
        </w:rPr>
        <w:t>514,981.39</w:t>
      </w:r>
      <w:r>
        <w:rPr>
          <w:rFonts w:hint="eastAsia"/>
          <w:highlight w:val="none"/>
        </w:rPr>
        <w:t>㎡，住宅面积为</w:t>
      </w:r>
      <w:r>
        <w:rPr>
          <w:rFonts w:hint="eastAsia"/>
          <w:highlight w:val="none"/>
          <w:lang w:val="en-US" w:eastAsia="zh-CN"/>
        </w:rPr>
        <w:t>256,284.06</w:t>
      </w:r>
      <w:r>
        <w:rPr>
          <w:rFonts w:hint="eastAsia"/>
          <w:highlight w:val="none"/>
        </w:rPr>
        <w:t>平方米，商业建筑面积为</w:t>
      </w:r>
      <w:r>
        <w:rPr>
          <w:rFonts w:hint="eastAsia"/>
          <w:highlight w:val="none"/>
          <w:lang w:val="en-US" w:eastAsia="zh-CN"/>
        </w:rPr>
        <w:t>110,532.64㎡</w:t>
      </w:r>
      <w:r>
        <w:rPr>
          <w:rFonts w:hint="eastAsia"/>
          <w:highlight w:val="none"/>
        </w:rPr>
        <w:t>，地下室建筑面积为</w:t>
      </w:r>
      <w:r>
        <w:rPr>
          <w:rFonts w:hint="eastAsia"/>
          <w:highlight w:val="none"/>
          <w:lang w:val="en-US" w:eastAsia="zh-CN"/>
        </w:rPr>
        <w:t>143,573.61㎡</w:t>
      </w:r>
      <w:r>
        <w:rPr>
          <w:rFonts w:hint="eastAsia"/>
          <w:highlight w:val="none"/>
        </w:rPr>
        <w:t>。建设住房</w:t>
      </w:r>
      <w:r>
        <w:rPr>
          <w:rFonts w:hint="eastAsia"/>
          <w:highlight w:val="none"/>
          <w:lang w:val="en-US" w:eastAsia="zh-CN"/>
        </w:rPr>
        <w:t>1,952</w:t>
      </w:r>
      <w:r>
        <w:rPr>
          <w:rFonts w:hint="eastAsia"/>
          <w:highlight w:val="none"/>
        </w:rPr>
        <w:t>户（套），地下停车位</w:t>
      </w:r>
      <w:r>
        <w:rPr>
          <w:rFonts w:hint="eastAsia"/>
          <w:highlight w:val="none"/>
          <w:lang w:val="en-US" w:eastAsia="zh-CN"/>
        </w:rPr>
        <w:t>3,793</w:t>
      </w:r>
      <w:r>
        <w:rPr>
          <w:rFonts w:hint="eastAsia"/>
          <w:highlight w:val="none"/>
        </w:rPr>
        <w:t>个。该项目已取得施工许可，</w:t>
      </w:r>
      <w:r>
        <w:rPr>
          <w:rFonts w:hint="eastAsia"/>
          <w:highlight w:val="none"/>
          <w:lang w:val="en-US" w:eastAsia="zh-CN"/>
        </w:rPr>
        <w:t>大部分</w:t>
      </w:r>
      <w:r>
        <w:rPr>
          <w:rFonts w:hint="eastAsia"/>
          <w:highlight w:val="none"/>
        </w:rPr>
        <w:t>建筑主体建设已经完工。在建工程部分主要为住宅面积约95,558.00㎡、商业面积22,387.89㎡。</w:t>
      </w:r>
    </w:p>
    <w:p w14:paraId="48AB1DE2">
      <w:pPr>
        <w:pStyle w:val="12"/>
        <w:ind w:left="0" w:leftChars="0" w:firstLine="480" w:firstLineChars="200"/>
        <w:rPr>
          <w:rFonts w:hint="eastAsia"/>
        </w:rPr>
      </w:pPr>
      <w:r>
        <w:rPr>
          <w:rFonts w:hint="eastAsia"/>
        </w:rPr>
        <w:t>（</w:t>
      </w:r>
      <w:r>
        <w:rPr>
          <w:rFonts w:hint="eastAsia"/>
          <w:lang w:val="en-US" w:eastAsia="zh-CN"/>
        </w:rPr>
        <w:t>三</w:t>
      </w:r>
      <w:r>
        <w:rPr>
          <w:rFonts w:hint="eastAsia"/>
        </w:rPr>
        <w:t>）负债情况</w:t>
      </w:r>
    </w:p>
    <w:p w14:paraId="4047BC97">
      <w:pPr>
        <w:pStyle w:val="12"/>
        <w:ind w:left="0" w:leftChars="0" w:firstLine="480" w:firstLineChars="200"/>
        <w:rPr>
          <w:rFonts w:hint="eastAsia"/>
          <w:lang w:eastAsia="zh-CN"/>
        </w:rPr>
      </w:pPr>
      <w:r>
        <w:t>根据</w:t>
      </w:r>
      <w:r>
        <w:rPr>
          <w:rFonts w:hint="eastAsia"/>
          <w:lang w:eastAsia="zh-CN"/>
        </w:rPr>
        <w:t>梧桐房开</w:t>
      </w:r>
      <w:r>
        <w:t>此前提交的</w:t>
      </w:r>
      <w:r>
        <w:rPr>
          <w:rFonts w:hint="eastAsia"/>
        </w:rPr>
        <w:t>《资产负债表》</w:t>
      </w:r>
      <w:r>
        <w:rPr>
          <w:rFonts w:hint="eastAsia"/>
          <w:lang w:val="en-US" w:eastAsia="zh-CN"/>
        </w:rPr>
        <w:t>显示</w:t>
      </w:r>
      <w:r>
        <w:t>，</w:t>
      </w:r>
      <w:r>
        <w:rPr>
          <w:rFonts w:hint="eastAsia"/>
          <w:lang w:eastAsia="zh-CN"/>
        </w:rPr>
        <w:t>梧桐房开公司负债总额为1,565,516,114.60元，所有者权益为-474,155,987.72元。</w:t>
      </w:r>
    </w:p>
    <w:p w14:paraId="34B28151">
      <w:pPr>
        <w:pStyle w:val="12"/>
        <w:ind w:left="0" w:leftChars="0" w:firstLine="480" w:firstLineChars="200"/>
        <w:rPr>
          <w:rFonts w:hint="eastAsia" w:ascii="黑体" w:hAnsi="黑体" w:eastAsia="黑体" w:cs="黑体"/>
          <w:lang w:val="en-US" w:eastAsia="zh-CN"/>
        </w:rPr>
      </w:pPr>
      <w:r>
        <w:rPr>
          <w:rFonts w:hint="eastAsia" w:ascii="黑体" w:hAnsi="黑体" w:eastAsia="黑体" w:cs="黑体"/>
        </w:rPr>
        <w:t>二、</w:t>
      </w:r>
      <w:r>
        <w:rPr>
          <w:rFonts w:hint="eastAsia" w:ascii="黑体" w:hAnsi="黑体" w:eastAsia="黑体" w:cs="黑体"/>
          <w:lang w:val="en-US" w:eastAsia="zh-CN"/>
        </w:rPr>
        <w:t>工作内容</w:t>
      </w:r>
    </w:p>
    <w:p w14:paraId="735DBCD0">
      <w:pPr>
        <w:pStyle w:val="12"/>
        <w:ind w:left="0" w:leftChars="0" w:firstLine="480" w:firstLineChars="200"/>
        <w:rPr>
          <w:color w:val="auto"/>
        </w:rPr>
      </w:pPr>
      <w:r>
        <w:rPr>
          <w:color w:val="auto"/>
        </w:rPr>
        <w:t>监理服务机构需承担本项目续建工程从开工至竣工验收前的监理工作，包括但不限于：</w:t>
      </w:r>
    </w:p>
    <w:p w14:paraId="5DB9529C">
      <w:pPr>
        <w:pStyle w:val="12"/>
        <w:ind w:left="0" w:leftChars="0" w:firstLine="480" w:firstLineChars="200"/>
        <w:rPr>
          <w:color w:val="auto"/>
        </w:rPr>
      </w:pPr>
      <w:r>
        <w:rPr>
          <w:color w:val="auto"/>
        </w:rPr>
        <w:t>（一）质量控制：监督施工单位按照设计图纸、施工规范及合同要求进行施工，确保工程质量符合标准。</w:t>
      </w:r>
    </w:p>
    <w:p w14:paraId="760AA3E8">
      <w:pPr>
        <w:pStyle w:val="12"/>
        <w:ind w:left="0" w:leftChars="0" w:firstLine="480" w:firstLineChars="200"/>
        <w:rPr>
          <w:color w:val="auto"/>
        </w:rPr>
      </w:pPr>
      <w:r>
        <w:rPr>
          <w:color w:val="auto"/>
        </w:rPr>
        <w:t>（二）进度控制：审查施工进度计划，监督施工单位按计划施工，及时协调解决影响进度的问题。</w:t>
      </w:r>
    </w:p>
    <w:p w14:paraId="5A80EF83">
      <w:pPr>
        <w:pStyle w:val="12"/>
        <w:ind w:left="0" w:leftChars="0" w:firstLine="480" w:firstLineChars="200"/>
        <w:rPr>
          <w:color w:val="auto"/>
        </w:rPr>
      </w:pPr>
      <w:r>
        <w:rPr>
          <w:color w:val="auto"/>
        </w:rPr>
        <w:t>（三）投资控制：审核工程量清单、工程变更及签证，控制工程投资在预算范围内。</w:t>
      </w:r>
    </w:p>
    <w:p w14:paraId="289E9AE6">
      <w:pPr>
        <w:pStyle w:val="12"/>
        <w:ind w:left="0" w:leftChars="0" w:firstLine="480" w:firstLineChars="200"/>
        <w:rPr>
          <w:color w:val="auto"/>
        </w:rPr>
      </w:pPr>
      <w:r>
        <w:rPr>
          <w:color w:val="auto"/>
        </w:rPr>
        <w:t>（四）安全管理：监督施工单位落实安全生产责任制，确保施工安全。</w:t>
      </w:r>
    </w:p>
    <w:p w14:paraId="0D4A500C">
      <w:pPr>
        <w:pStyle w:val="12"/>
        <w:ind w:left="0" w:leftChars="0" w:firstLine="480" w:firstLineChars="200"/>
        <w:rPr>
          <w:color w:val="auto"/>
        </w:rPr>
      </w:pPr>
      <w:r>
        <w:rPr>
          <w:color w:val="auto"/>
        </w:rPr>
        <w:t>（五）合同管理：协助处理合同履行过程中的争议和索赔，维护双方合法权益。</w:t>
      </w:r>
    </w:p>
    <w:p w14:paraId="55AD549E">
      <w:pPr>
        <w:pStyle w:val="12"/>
        <w:ind w:left="0" w:leftChars="0" w:firstLine="480" w:firstLineChars="200"/>
        <w:rPr>
          <w:color w:val="auto"/>
        </w:rPr>
      </w:pPr>
      <w:r>
        <w:rPr>
          <w:color w:val="auto"/>
        </w:rPr>
        <w:t>（六）信息管理：整理归档监理资料，及时向建设单位报告工程进展情况。</w:t>
      </w:r>
    </w:p>
    <w:p w14:paraId="42773A51">
      <w:pPr>
        <w:pStyle w:val="12"/>
        <w:ind w:left="0" w:leftChars="0" w:firstLine="480" w:firstLineChars="200"/>
        <w:rPr>
          <w:rFonts w:hint="eastAsia" w:ascii="黑体" w:hAnsi="黑体" w:eastAsia="黑体" w:cs="黑体"/>
          <w:color w:val="auto"/>
          <w:lang w:val="en-US" w:eastAsia="zh-CN"/>
        </w:rPr>
      </w:pPr>
      <w:r>
        <w:rPr>
          <w:rFonts w:hint="eastAsia" w:ascii="黑体" w:hAnsi="黑体" w:eastAsia="黑体" w:cs="黑体"/>
          <w:color w:val="auto"/>
        </w:rPr>
        <w:t>三、</w:t>
      </w:r>
      <w:r>
        <w:rPr>
          <w:rFonts w:hint="eastAsia" w:ascii="黑体" w:hAnsi="黑体" w:eastAsia="黑体" w:cs="黑体"/>
          <w:color w:val="auto"/>
          <w:lang w:val="en-US" w:eastAsia="zh-CN"/>
        </w:rPr>
        <w:t>监理单位报名要求</w:t>
      </w:r>
    </w:p>
    <w:p w14:paraId="49BC9F65">
      <w:pPr>
        <w:pStyle w:val="12"/>
        <w:ind w:left="0" w:leftChars="0" w:firstLine="480" w:firstLineChars="200"/>
        <w:rPr>
          <w:color w:val="auto"/>
        </w:rPr>
      </w:pPr>
      <w:r>
        <w:rPr>
          <w:color w:val="auto"/>
        </w:rPr>
        <w:t>（一）在中华人民共和国境内合法注册并有效存续的企业法人，具有独立承担民事责任的能力；</w:t>
      </w:r>
    </w:p>
    <w:p w14:paraId="4EDBACB3">
      <w:pPr>
        <w:pStyle w:val="12"/>
        <w:ind w:left="0" w:leftChars="0" w:firstLine="480" w:firstLineChars="200"/>
        <w:rPr>
          <w:color w:val="auto"/>
        </w:rPr>
      </w:pPr>
      <w:r>
        <w:rPr>
          <w:rFonts w:hint="eastAsia"/>
          <w:color w:val="auto"/>
          <w:lang w:eastAsia="zh-CN"/>
        </w:rPr>
        <w:t>（</w:t>
      </w:r>
      <w:r>
        <w:rPr>
          <w:rFonts w:hint="eastAsia"/>
          <w:color w:val="auto"/>
          <w:lang w:val="en-US" w:eastAsia="zh-CN"/>
        </w:rPr>
        <w:t>二）</w:t>
      </w:r>
      <w:r>
        <w:rPr>
          <w:color w:val="auto"/>
        </w:rPr>
        <w:t>企业资质：投标人须具备建设行政主管部门核发的房屋建筑工程监理乙级及以上资质；</w:t>
      </w:r>
    </w:p>
    <w:p w14:paraId="7AE8BA95">
      <w:pPr>
        <w:pStyle w:val="12"/>
        <w:ind w:left="0" w:leftChars="0" w:firstLine="480" w:firstLineChars="200"/>
        <w:rPr>
          <w:color w:val="auto"/>
        </w:rPr>
      </w:pPr>
      <w:r>
        <w:rPr>
          <w:rFonts w:hint="eastAsia"/>
          <w:color w:val="auto"/>
          <w:lang w:eastAsia="zh-CN"/>
        </w:rPr>
        <w:t>（</w:t>
      </w:r>
      <w:r>
        <w:rPr>
          <w:rFonts w:hint="eastAsia"/>
          <w:color w:val="auto"/>
          <w:lang w:val="en-US" w:eastAsia="zh-CN"/>
        </w:rPr>
        <w:t>三）</w:t>
      </w:r>
      <w:r>
        <w:rPr>
          <w:color w:val="auto"/>
        </w:rPr>
        <w:t>业绩要求：近三年具有类似规模工程监理业绩，提供相关证明材料；</w:t>
      </w:r>
    </w:p>
    <w:p w14:paraId="25407F8F">
      <w:pPr>
        <w:pStyle w:val="12"/>
        <w:ind w:left="0" w:leftChars="0" w:firstLine="480" w:firstLineChars="200"/>
        <w:rPr>
          <w:color w:val="auto"/>
        </w:rPr>
      </w:pPr>
      <w:r>
        <w:rPr>
          <w:rFonts w:hint="eastAsia"/>
          <w:color w:val="auto"/>
          <w:lang w:eastAsia="zh-CN"/>
        </w:rPr>
        <w:t>（</w:t>
      </w:r>
      <w:r>
        <w:rPr>
          <w:rFonts w:hint="eastAsia"/>
          <w:color w:val="auto"/>
          <w:lang w:val="en-US" w:eastAsia="zh-CN"/>
        </w:rPr>
        <w:t>四）</w:t>
      </w:r>
      <w:r>
        <w:rPr>
          <w:color w:val="auto"/>
        </w:rPr>
        <w:t>人员配置：项目总监理工程师须具备国家注册监理工程师资格，专业为房屋建筑工程，且不得在其他项目中兼任总监；同时，配备足够数量的专业监理工程师和监理员，满足项目监理需要；</w:t>
      </w:r>
    </w:p>
    <w:p w14:paraId="455E8D18">
      <w:pPr>
        <w:pStyle w:val="12"/>
        <w:ind w:left="0" w:leftChars="0" w:firstLine="480" w:firstLineChars="200"/>
        <w:rPr>
          <w:color w:val="auto"/>
        </w:rPr>
      </w:pPr>
      <w:r>
        <w:rPr>
          <w:rFonts w:hint="eastAsia"/>
          <w:color w:val="auto"/>
          <w:lang w:val="en-US" w:eastAsia="zh-CN"/>
        </w:rPr>
        <w:t>（五）</w:t>
      </w:r>
      <w:r>
        <w:rPr>
          <w:color w:val="auto"/>
        </w:rPr>
        <w:t>商业信誉良好，近三年内无重大违法、违规记录，未因工程质量或管理问题受到重大行政处罚；</w:t>
      </w:r>
    </w:p>
    <w:p w14:paraId="7DE898CF">
      <w:pPr>
        <w:pStyle w:val="12"/>
        <w:ind w:left="0" w:leftChars="0" w:firstLine="480" w:firstLineChars="200"/>
        <w:rPr>
          <w:color w:val="auto"/>
        </w:rPr>
      </w:pPr>
      <w:r>
        <w:rPr>
          <w:rFonts w:hint="eastAsia"/>
          <w:color w:val="auto"/>
          <w:lang w:eastAsia="zh-CN"/>
        </w:rPr>
        <w:t>（</w:t>
      </w:r>
      <w:r>
        <w:rPr>
          <w:rFonts w:hint="eastAsia"/>
          <w:color w:val="auto"/>
          <w:lang w:val="en-US" w:eastAsia="zh-CN"/>
        </w:rPr>
        <w:t>六）</w:t>
      </w:r>
      <w:r>
        <w:rPr>
          <w:color w:val="auto"/>
        </w:rPr>
        <w:t>管理人根据项目情况认为需要满足的其他条件。</w:t>
      </w:r>
    </w:p>
    <w:p w14:paraId="0119240A">
      <w:pPr>
        <w:pStyle w:val="12"/>
        <w:ind w:left="0" w:leftChars="0" w:firstLine="480" w:firstLineChars="200"/>
        <w:rPr>
          <w:rFonts w:hint="eastAsia" w:ascii="黑体" w:hAnsi="黑体" w:eastAsia="黑体" w:cs="黑体"/>
        </w:rPr>
      </w:pPr>
      <w:r>
        <w:rPr>
          <w:rFonts w:hint="eastAsia" w:ascii="黑体" w:hAnsi="黑体" w:eastAsia="黑体" w:cs="黑体"/>
        </w:rPr>
        <w:t>四、报名需提交的材料</w:t>
      </w:r>
    </w:p>
    <w:p w14:paraId="22CDFF17">
      <w:pPr>
        <w:pStyle w:val="12"/>
        <w:ind w:left="0" w:leftChars="0" w:firstLine="480" w:firstLineChars="200"/>
      </w:pPr>
      <w:r>
        <w:t>（一）企业营业执照、资质证书副本(复印件加盖公章)；</w:t>
      </w:r>
    </w:p>
    <w:p w14:paraId="2F8B76B5">
      <w:pPr>
        <w:pStyle w:val="12"/>
        <w:ind w:left="0" w:leftChars="0" w:firstLine="480" w:firstLineChars="200"/>
      </w:pPr>
      <w:r>
        <w:rPr>
          <w:rFonts w:hint="eastAsia"/>
          <w:lang w:eastAsia="zh-CN"/>
        </w:rPr>
        <w:t>（</w:t>
      </w:r>
      <w:r>
        <w:rPr>
          <w:rFonts w:hint="eastAsia"/>
          <w:lang w:val="en-US" w:eastAsia="zh-CN"/>
        </w:rPr>
        <w:t>二）</w:t>
      </w:r>
      <w:r>
        <w:t>法定代表人身份证明书及身份证复印件、授权委托书及被委托人身份证复印件(</w:t>
      </w:r>
      <w:r>
        <w:rPr>
          <w:rFonts w:hint="eastAsia"/>
          <w:lang w:val="en-US" w:eastAsia="zh-CN"/>
        </w:rPr>
        <w:t>复印件加盖公章）</w:t>
      </w:r>
      <w:r>
        <w:t>；</w:t>
      </w:r>
    </w:p>
    <w:p w14:paraId="3F6C9E07">
      <w:pPr>
        <w:pStyle w:val="12"/>
        <w:ind w:left="0" w:leftChars="0" w:firstLine="480" w:firstLineChars="200"/>
        <w:rPr>
          <w:rFonts w:hint="eastAsia"/>
        </w:rPr>
      </w:pPr>
      <w:r>
        <w:rPr>
          <w:rFonts w:hint="eastAsia"/>
          <w:lang w:eastAsia="zh-CN"/>
        </w:rPr>
        <w:t>（</w:t>
      </w:r>
      <w:r>
        <w:rPr>
          <w:rFonts w:hint="eastAsia"/>
          <w:lang w:val="en-US" w:eastAsia="zh-CN"/>
        </w:rPr>
        <w:t>三）</w:t>
      </w:r>
      <w:r>
        <w:rPr>
          <w:rFonts w:hint="eastAsia"/>
        </w:rPr>
        <w:t>项目负责人监理师资质证书等(复印件，须加盖本单位公章);</w:t>
      </w:r>
    </w:p>
    <w:p w14:paraId="6A482EF8">
      <w:pPr>
        <w:pStyle w:val="12"/>
        <w:ind w:left="0" w:leftChars="0" w:firstLine="480" w:firstLineChars="200"/>
      </w:pPr>
      <w:r>
        <w:rPr>
          <w:rFonts w:hint="eastAsia"/>
          <w:lang w:eastAsia="zh-CN"/>
        </w:rPr>
        <w:t>（</w:t>
      </w:r>
      <w:r>
        <w:rPr>
          <w:rFonts w:hint="eastAsia"/>
          <w:lang w:val="en-US" w:eastAsia="zh-CN"/>
        </w:rPr>
        <w:t>四）</w:t>
      </w:r>
      <w:r>
        <w:t>企业及主要项目业绩证明；</w:t>
      </w:r>
    </w:p>
    <w:p w14:paraId="492E7CD2">
      <w:pPr>
        <w:pStyle w:val="12"/>
        <w:ind w:left="0" w:leftChars="0" w:firstLine="480" w:firstLineChars="200"/>
      </w:pPr>
      <w:r>
        <w:rPr>
          <w:rFonts w:hint="eastAsia"/>
          <w:lang w:eastAsia="zh-CN"/>
        </w:rPr>
        <w:t>（</w:t>
      </w:r>
      <w:r>
        <w:rPr>
          <w:rFonts w:hint="eastAsia"/>
          <w:lang w:val="en-US" w:eastAsia="zh-CN"/>
        </w:rPr>
        <w:t>五）</w:t>
      </w:r>
      <w:r>
        <w:t>针对本项目的《监理服务方案》，方案内容需包括:（1）团队配置</w:t>
      </w:r>
      <w:r>
        <w:rPr>
          <w:rFonts w:hint="eastAsia"/>
          <w:lang w:eastAsia="zh-CN"/>
        </w:rPr>
        <w:t>（</w:t>
      </w:r>
      <w:r>
        <w:rPr>
          <w:rFonts w:hint="eastAsia"/>
        </w:rPr>
        <w:t>拟安排参加本项目的工作人员名单及简历</w:t>
      </w:r>
      <w:r>
        <w:rPr>
          <w:rFonts w:hint="eastAsia"/>
          <w:lang w:eastAsia="zh-CN"/>
        </w:rPr>
        <w:t>）</w:t>
      </w:r>
      <w:r>
        <w:t>；（2）费用报价；（3）报名人认为需补充的其它内容)；</w:t>
      </w:r>
    </w:p>
    <w:p w14:paraId="79D87E14">
      <w:pPr>
        <w:pStyle w:val="12"/>
        <w:ind w:left="0" w:leftChars="0" w:firstLine="480" w:firstLineChars="200"/>
      </w:pPr>
      <w:r>
        <w:rPr>
          <w:rFonts w:hint="eastAsia"/>
          <w:lang w:eastAsia="zh-CN"/>
        </w:rPr>
        <w:t>（</w:t>
      </w:r>
      <w:r>
        <w:rPr>
          <w:rFonts w:hint="eastAsia"/>
          <w:lang w:val="en-US" w:eastAsia="zh-CN"/>
        </w:rPr>
        <w:t>六）</w:t>
      </w:r>
      <w:r>
        <w:t>现场勘察确认书及保密协议(与管理人签订)；</w:t>
      </w:r>
    </w:p>
    <w:p w14:paraId="44B07EEE">
      <w:pPr>
        <w:pStyle w:val="12"/>
        <w:ind w:left="0" w:leftChars="0" w:firstLine="480" w:firstLineChars="200"/>
        <w:rPr>
          <w:rFonts w:hint="eastAsia" w:eastAsia="宋体"/>
          <w:lang w:eastAsia="zh-CN"/>
        </w:rPr>
      </w:pPr>
      <w:r>
        <w:rPr>
          <w:rFonts w:hint="eastAsia"/>
          <w:lang w:eastAsia="zh-CN"/>
        </w:rPr>
        <w:t>（</w:t>
      </w:r>
      <w:r>
        <w:rPr>
          <w:rFonts w:hint="eastAsia"/>
          <w:lang w:val="en-US" w:eastAsia="zh-CN"/>
        </w:rPr>
        <w:t>七）</w:t>
      </w:r>
      <w:r>
        <w:t>承诺所提交资料真实性的承诺函(原件加盖公章)承诺所提交资料真实性的承诺函(原件加盖公章)</w:t>
      </w:r>
      <w:r>
        <w:rPr>
          <w:rFonts w:hint="eastAsia"/>
          <w:lang w:eastAsia="zh-CN"/>
        </w:rPr>
        <w:t>；</w:t>
      </w:r>
    </w:p>
    <w:p w14:paraId="2E3A18BD">
      <w:pPr>
        <w:pStyle w:val="12"/>
        <w:ind w:left="0" w:leftChars="0" w:firstLine="480" w:firstLineChars="200"/>
      </w:pPr>
      <w:r>
        <w:rPr>
          <w:rFonts w:hint="eastAsia"/>
          <w:lang w:eastAsia="zh-CN"/>
        </w:rPr>
        <w:t>（</w:t>
      </w:r>
      <w:r>
        <w:rPr>
          <w:rFonts w:hint="eastAsia"/>
          <w:lang w:val="en-US" w:eastAsia="zh-CN"/>
        </w:rPr>
        <w:t>八）</w:t>
      </w:r>
      <w:r>
        <w:t>临时管理人认为需要补充提交的其他材料。</w:t>
      </w:r>
    </w:p>
    <w:p w14:paraId="777A0C45">
      <w:pPr>
        <w:pStyle w:val="12"/>
        <w:ind w:left="0" w:leftChars="0" w:firstLine="480" w:firstLineChars="200"/>
      </w:pPr>
      <w:r>
        <w:t>特别提示：</w:t>
      </w:r>
      <w:r>
        <w:rPr>
          <w:rFonts w:hint="eastAsia"/>
          <w:lang w:val="en-US" w:eastAsia="zh-CN"/>
        </w:rPr>
        <w:t>1.监理单位应当在报名时间届满前提交上述报名材料，</w:t>
      </w:r>
      <w:r>
        <w:t>以上材料皆</w:t>
      </w:r>
      <w:r>
        <w:rPr>
          <w:rFonts w:hint="eastAsia"/>
          <w:lang w:eastAsia="zh-CN"/>
        </w:rPr>
        <w:t>须加盖</w:t>
      </w:r>
      <w:r>
        <w:t>意向</w:t>
      </w:r>
      <w:r>
        <w:rPr>
          <w:rFonts w:hint="eastAsia"/>
          <w:lang w:val="en-US" w:eastAsia="zh-CN"/>
        </w:rPr>
        <w:t>监理单位</w:t>
      </w:r>
      <w:r>
        <w:t>公章</w:t>
      </w:r>
      <w:r>
        <w:rPr>
          <w:rFonts w:hint="eastAsia"/>
        </w:rPr>
        <w:t>并由其法定代表人或负责人签字</w:t>
      </w:r>
      <w:r>
        <w:t>；</w:t>
      </w:r>
      <w:r>
        <w:rPr>
          <w:rFonts w:hint="eastAsia"/>
          <w:lang w:val="en-US" w:eastAsia="zh-CN"/>
        </w:rPr>
        <w:t>2.</w:t>
      </w:r>
      <w:r>
        <w:t>报名材料需制定目录和页码，</w:t>
      </w:r>
      <w:r>
        <w:rPr>
          <w:rFonts w:hint="eastAsia"/>
          <w:lang w:val="en-US" w:eastAsia="zh-CN"/>
        </w:rPr>
        <w:t>按</w:t>
      </w:r>
      <w:r>
        <w:rPr>
          <w:rFonts w:hint="eastAsia"/>
        </w:rPr>
        <w:t>本公告规定的</w:t>
      </w:r>
      <w:r>
        <w:rPr>
          <w:rFonts w:hint="eastAsia"/>
          <w:lang w:val="en-US" w:eastAsia="zh-CN"/>
        </w:rPr>
        <w:t>要求及</w:t>
      </w:r>
      <w:r>
        <w:rPr>
          <w:rFonts w:hint="eastAsia"/>
        </w:rPr>
        <w:t>条件</w:t>
      </w:r>
      <w:r>
        <w:rPr>
          <w:rFonts w:hint="eastAsia"/>
          <w:lang w:val="en-US" w:eastAsia="zh-CN"/>
        </w:rPr>
        <w:t>提供的</w:t>
      </w:r>
      <w:r>
        <w:rPr>
          <w:rFonts w:hint="eastAsia"/>
        </w:rPr>
        <w:t>相关证明材料应当作为报名材料附件，</w:t>
      </w:r>
      <w:r>
        <w:rPr>
          <w:rFonts w:hint="eastAsia"/>
          <w:lang w:val="en-US" w:eastAsia="zh-CN"/>
        </w:rPr>
        <w:t>依</w:t>
      </w:r>
      <w:r>
        <w:t>顺序</w:t>
      </w:r>
      <w:r>
        <w:rPr>
          <w:rFonts w:hint="eastAsia"/>
        </w:rPr>
        <w:t>以A4纸打印装订成册并密封</w:t>
      </w:r>
      <w:r>
        <w:t>（内附电子光盘）</w:t>
      </w:r>
      <w:r>
        <w:rPr>
          <w:rFonts w:hint="eastAsia"/>
        </w:rPr>
        <w:t>后通过现场或邮寄方式提交给临时管理人</w:t>
      </w:r>
      <w:r>
        <w:t>。</w:t>
      </w:r>
      <w:r>
        <w:rPr>
          <w:rFonts w:hint="eastAsia"/>
          <w:lang w:val="en-US" w:eastAsia="zh-CN"/>
        </w:rPr>
        <w:t>报名材料</w:t>
      </w:r>
      <w:r>
        <w:t>应提供一式三份，不足三份按不符合资格审查处理。</w:t>
      </w:r>
    </w:p>
    <w:p w14:paraId="1F068C65">
      <w:pPr>
        <w:pStyle w:val="12"/>
        <w:ind w:left="0" w:leftChars="0" w:firstLine="480" w:firstLineChars="200"/>
        <w:rPr>
          <w:rFonts w:hint="default" w:ascii="黑体" w:hAnsi="黑体" w:eastAsia="黑体" w:cs="黑体"/>
          <w:lang w:val="en-US" w:eastAsia="zh-CN"/>
        </w:rPr>
      </w:pPr>
      <w:r>
        <w:rPr>
          <w:rFonts w:hint="eastAsia" w:ascii="黑体" w:hAnsi="黑体" w:eastAsia="黑体" w:cs="黑体"/>
        </w:rPr>
        <w:t>五、</w:t>
      </w:r>
      <w:r>
        <w:rPr>
          <w:rFonts w:hint="eastAsia" w:ascii="黑体" w:hAnsi="黑体" w:eastAsia="黑体" w:cs="黑体"/>
          <w:lang w:val="en-US" w:eastAsia="zh-CN"/>
        </w:rPr>
        <w:t>报名时间及方式</w:t>
      </w:r>
    </w:p>
    <w:p w14:paraId="0A76ED49">
      <w:pPr>
        <w:pStyle w:val="12"/>
        <w:ind w:left="0" w:leftChars="0" w:firstLine="480" w:firstLineChars="200"/>
      </w:pPr>
      <w:r>
        <w:t>（</w:t>
      </w:r>
      <w:r>
        <w:rPr>
          <w:rFonts w:hint="eastAsia"/>
          <w:lang w:val="en-US" w:eastAsia="zh-CN"/>
        </w:rPr>
        <w:t>一</w:t>
      </w:r>
      <w:r>
        <w:t>）报名时间：自本公告发布之日起至</w:t>
      </w:r>
      <w:r>
        <w:rPr>
          <w:rFonts w:hint="eastAsia"/>
          <w:lang w:val="en-US" w:eastAsia="zh-CN"/>
        </w:rPr>
        <w:t>2026</w:t>
      </w:r>
      <w:r>
        <w:t>年</w:t>
      </w:r>
      <w:r>
        <w:rPr>
          <w:rFonts w:hint="eastAsia"/>
          <w:lang w:val="en-US" w:eastAsia="zh-CN"/>
        </w:rPr>
        <w:t>4</w:t>
      </w:r>
      <w:r>
        <w:t>月</w:t>
      </w:r>
      <w:r>
        <w:rPr>
          <w:rFonts w:hint="eastAsia"/>
          <w:lang w:val="en-US" w:eastAsia="zh-CN"/>
        </w:rPr>
        <w:t>7</w:t>
      </w:r>
      <w:r>
        <w:t>日1</w:t>
      </w:r>
      <w:r>
        <w:rPr>
          <w:rFonts w:hint="eastAsia"/>
          <w:lang w:val="en-US" w:eastAsia="zh-CN"/>
        </w:rPr>
        <w:t>7</w:t>
      </w:r>
      <w:r>
        <w:t>:00时止。</w:t>
      </w:r>
    </w:p>
    <w:p w14:paraId="6819E317">
      <w:pPr>
        <w:pStyle w:val="12"/>
        <w:ind w:left="0" w:leftChars="0" w:firstLine="480" w:firstLineChars="200"/>
      </w:pPr>
      <w:r>
        <w:rPr>
          <w:rFonts w:hint="eastAsia"/>
          <w:lang w:eastAsia="zh-CN"/>
        </w:rPr>
        <w:t>（</w:t>
      </w:r>
      <w:r>
        <w:rPr>
          <w:rFonts w:hint="eastAsia"/>
          <w:lang w:val="en-US" w:eastAsia="zh-CN"/>
        </w:rPr>
        <w:t>二）</w:t>
      </w:r>
      <w:r>
        <w:t>报名方式：请将报名资料（</w:t>
      </w:r>
      <w:r>
        <w:rPr>
          <w:rFonts w:hint="eastAsia"/>
          <w:lang w:eastAsia="zh-CN"/>
        </w:rPr>
        <w:t>一式三份</w:t>
      </w:r>
      <w:r>
        <w:t>）密封后，在报名截止时间前邮寄或送达以下地址。</w:t>
      </w:r>
    </w:p>
    <w:p w14:paraId="0A1F577C">
      <w:pPr>
        <w:pStyle w:val="12"/>
        <w:ind w:left="0" w:leftChars="0" w:firstLine="480" w:firstLineChars="200"/>
      </w:pPr>
      <w:r>
        <w:rPr>
          <w:rFonts w:hint="eastAsia"/>
          <w:lang w:eastAsia="zh-CN"/>
        </w:rPr>
        <w:t>（</w:t>
      </w:r>
      <w:r>
        <w:rPr>
          <w:rFonts w:hint="eastAsia"/>
          <w:lang w:val="en-US" w:eastAsia="zh-CN"/>
        </w:rPr>
        <w:t>三）</w:t>
      </w:r>
      <w:r>
        <w:t>联系方式：</w:t>
      </w:r>
    </w:p>
    <w:p w14:paraId="2ABAB897">
      <w:pPr>
        <w:pStyle w:val="12"/>
        <w:ind w:left="0" w:leftChars="0" w:firstLine="720" w:firstLineChars="300"/>
        <w:rPr>
          <w:rFonts w:hint="default" w:eastAsia="宋体"/>
          <w:lang w:val="en-US" w:eastAsia="zh-CN"/>
        </w:rPr>
      </w:pPr>
      <w:r>
        <w:t>联系人：</w:t>
      </w:r>
      <w:r>
        <w:rPr>
          <w:rFonts w:hint="eastAsia"/>
          <w:lang w:val="en-US" w:eastAsia="zh-CN"/>
        </w:rPr>
        <w:t>倪康、何敏</w:t>
      </w:r>
    </w:p>
    <w:p w14:paraId="7D207065">
      <w:pPr>
        <w:pStyle w:val="12"/>
        <w:ind w:left="0" w:leftChars="0" w:firstLine="720" w:firstLineChars="300"/>
      </w:pPr>
      <w:r>
        <w:t>联系电话：</w:t>
      </w:r>
      <w:r>
        <w:rPr>
          <w:rFonts w:hint="eastAsia"/>
        </w:rPr>
        <w:t>17586272364、16685071047、18684104750</w:t>
      </w:r>
    </w:p>
    <w:p w14:paraId="05DD43F7">
      <w:pPr>
        <w:pStyle w:val="12"/>
        <w:ind w:left="0" w:leftChars="0" w:firstLine="720" w:firstLineChars="300"/>
        <w:rPr>
          <w:rFonts w:hint="default" w:eastAsia="宋体"/>
          <w:lang w:val="en-US" w:eastAsia="zh-CN"/>
        </w:rPr>
      </w:pPr>
      <w:r>
        <w:rPr>
          <w:rFonts w:hint="eastAsia"/>
          <w:lang w:val="en-US" w:eastAsia="zh-CN"/>
        </w:rPr>
        <w:t>联系邮箱：</w:t>
      </w:r>
      <w:r>
        <w:rPr>
          <w:rFonts w:hint="eastAsia"/>
        </w:rPr>
        <w:fldChar w:fldCharType="begin"/>
      </w:r>
      <w:r>
        <w:rPr>
          <w:rFonts w:hint="eastAsia"/>
        </w:rPr>
        <w:instrText xml:space="preserve"> HYPERLINK "mailto:wtfdcglr@163.com" </w:instrText>
      </w:r>
      <w:r>
        <w:rPr>
          <w:rFonts w:hint="eastAsia"/>
        </w:rPr>
        <w:fldChar w:fldCharType="separate"/>
      </w:r>
      <w:r>
        <w:rPr>
          <w:rStyle w:val="19"/>
          <w:rFonts w:hint="eastAsia"/>
        </w:rPr>
        <w:t>wtfdcglr@163.com</w:t>
      </w:r>
      <w:r>
        <w:rPr>
          <w:rFonts w:hint="eastAsia"/>
        </w:rPr>
        <w:fldChar w:fldCharType="end"/>
      </w:r>
    </w:p>
    <w:p w14:paraId="57544DDF">
      <w:pPr>
        <w:pStyle w:val="12"/>
        <w:ind w:left="0" w:leftChars="0" w:firstLine="720" w:firstLineChars="300"/>
        <w:rPr>
          <w:rFonts w:hint="eastAsia"/>
        </w:rPr>
      </w:pPr>
      <w:r>
        <w:t>联系地址：</w:t>
      </w:r>
      <w:r>
        <w:rPr>
          <w:rFonts w:hint="eastAsia"/>
        </w:rPr>
        <w:t>贵州省</w:t>
      </w:r>
      <w:r>
        <w:rPr>
          <w:rFonts w:hint="eastAsia"/>
          <w:lang w:val="en-US" w:eastAsia="zh-CN"/>
        </w:rPr>
        <w:t>毕节市大方县归化街道“梧桐·凤凰城”销售</w:t>
      </w:r>
      <w:r>
        <w:rPr>
          <w:rFonts w:hint="eastAsia"/>
        </w:rPr>
        <w:t>中心临时管理人办公室</w:t>
      </w:r>
    </w:p>
    <w:p w14:paraId="428EC4AF">
      <w:pPr>
        <w:pStyle w:val="12"/>
        <w:numPr>
          <w:ilvl w:val="0"/>
          <w:numId w:val="1"/>
        </w:numPr>
        <w:ind w:left="0" w:leftChars="0" w:firstLine="480" w:firstLineChars="200"/>
      </w:pPr>
      <w:r>
        <w:t>逾期送达的报名文件，将予以拒收。</w:t>
      </w:r>
    </w:p>
    <w:p w14:paraId="7EF57A25">
      <w:pPr>
        <w:pStyle w:val="12"/>
        <w:numPr>
          <w:ilvl w:val="0"/>
          <w:numId w:val="2"/>
        </w:numPr>
        <w:ind w:left="0" w:leftChars="0" w:firstLine="480" w:firstLineChars="200"/>
        <w:rPr>
          <w:rFonts w:hint="eastAsia" w:ascii="黑体" w:hAnsi="黑体" w:eastAsia="黑体" w:cs="黑体"/>
          <w:lang w:val="en-US" w:eastAsia="zh-CN"/>
        </w:rPr>
      </w:pPr>
      <w:r>
        <w:rPr>
          <w:rFonts w:hint="eastAsia" w:ascii="黑体" w:hAnsi="黑体" w:eastAsia="黑体" w:cs="黑体"/>
          <w:lang w:val="en-US" w:eastAsia="zh-CN"/>
        </w:rPr>
        <w:t>其他事项</w:t>
      </w:r>
    </w:p>
    <w:p w14:paraId="6F9618F1">
      <w:pPr>
        <w:pStyle w:val="12"/>
        <w:ind w:left="0" w:leftChars="0" w:firstLine="480" w:firstLineChars="200"/>
      </w:pPr>
      <w:r>
        <w:rPr>
          <w:rFonts w:hint="eastAsia"/>
          <w:lang w:eastAsia="zh-CN"/>
        </w:rPr>
        <w:t>（</w:t>
      </w:r>
      <w:r>
        <w:rPr>
          <w:rFonts w:hint="eastAsia"/>
          <w:lang w:val="en-US" w:eastAsia="zh-CN"/>
        </w:rPr>
        <w:t>一）</w:t>
      </w:r>
      <w:r>
        <w:rPr>
          <w:rFonts w:hint="eastAsia"/>
        </w:rPr>
        <w:t>本招募公告由梧桐房开临时管理人编制，解释权属于临时管理人，本公告未尽事宜，以临时管理人的有关补充通知为准。临时管理人有权决定继续、中止或终止预重整施工方招募。</w:t>
      </w:r>
    </w:p>
    <w:p w14:paraId="7630EBAF">
      <w:pPr>
        <w:pStyle w:val="12"/>
        <w:ind w:left="0" w:leftChars="0" w:firstLine="480" w:firstLineChars="200"/>
      </w:pPr>
      <w:r>
        <w:rPr>
          <w:rFonts w:hint="eastAsia"/>
          <w:lang w:eastAsia="zh-CN"/>
        </w:rPr>
        <w:t>（</w:t>
      </w:r>
      <w:r>
        <w:rPr>
          <w:rFonts w:hint="eastAsia"/>
          <w:lang w:val="en-US" w:eastAsia="zh-CN"/>
        </w:rPr>
        <w:t>二）</w:t>
      </w:r>
      <w:r>
        <w:t>管理人有权根据报名情况，中止或终止本次招募活动，且不承担任何费用。</w:t>
      </w:r>
    </w:p>
    <w:p w14:paraId="0FB82732">
      <w:pPr>
        <w:pStyle w:val="12"/>
        <w:ind w:left="0" w:leftChars="0" w:firstLine="480" w:firstLineChars="200"/>
      </w:pPr>
      <w:r>
        <w:rPr>
          <w:rFonts w:hint="eastAsia"/>
          <w:lang w:eastAsia="zh-CN"/>
        </w:rPr>
        <w:t>（</w:t>
      </w:r>
      <w:r>
        <w:rPr>
          <w:rFonts w:hint="eastAsia"/>
          <w:lang w:val="en-US" w:eastAsia="zh-CN"/>
        </w:rPr>
        <w:t>三）</w:t>
      </w:r>
      <w:r>
        <w:t>被“信用中国”列入失信被执行人名单、企业经营异常名录、重大税收违法案件当事人名单、涉及重大诉讼（被列为被告）的单位不得报名（信用查询网址“信用中国”http://www.creditchina.gov.cn）。</w:t>
      </w:r>
    </w:p>
    <w:p w14:paraId="455EC724">
      <w:pPr>
        <w:pStyle w:val="12"/>
        <w:ind w:left="0" w:leftChars="0" w:firstLine="480" w:firstLineChars="200"/>
      </w:pPr>
      <w:r>
        <w:rPr>
          <w:rFonts w:hint="eastAsia"/>
          <w:lang w:eastAsia="zh-CN"/>
        </w:rPr>
        <w:t>（</w:t>
      </w:r>
      <w:r>
        <w:rPr>
          <w:rFonts w:hint="eastAsia"/>
          <w:lang w:val="en-US" w:eastAsia="zh-CN"/>
        </w:rPr>
        <w:t>四）</w:t>
      </w:r>
      <w:r>
        <w:t>与</w:t>
      </w:r>
      <w:r>
        <w:rPr>
          <w:rFonts w:hint="eastAsia"/>
          <w:lang w:val="en-US" w:eastAsia="zh-CN"/>
        </w:rPr>
        <w:t>毕节市梧桐</w:t>
      </w:r>
      <w:r>
        <w:t>房地产开发有限公司存在利害关系，可能影响本次公开招募活动公正性的法人、其他组织或者个人，不得报名。单位负责人为同一人或者存在控股、管理关系的不同单位，不得同时报名本项目。</w:t>
      </w:r>
    </w:p>
    <w:p w14:paraId="0DA3C8C0">
      <w:pPr>
        <w:pStyle w:val="12"/>
        <w:ind w:left="0" w:leftChars="0" w:firstLine="480" w:firstLineChars="200"/>
        <w:rPr>
          <w:rFonts w:hint="default"/>
          <w:color w:val="auto"/>
          <w:lang w:val="en-US" w:eastAsia="zh-CN"/>
        </w:rPr>
      </w:pPr>
      <w:r>
        <w:rPr>
          <w:rFonts w:hint="eastAsia"/>
          <w:color w:val="auto"/>
          <w:lang w:eastAsia="zh-CN"/>
        </w:rPr>
        <w:t>（</w:t>
      </w:r>
      <w:r>
        <w:rPr>
          <w:rFonts w:hint="eastAsia"/>
          <w:color w:val="auto"/>
          <w:lang w:val="en-US" w:eastAsia="zh-CN"/>
        </w:rPr>
        <w:t>五</w:t>
      </w:r>
      <w:r>
        <w:rPr>
          <w:rFonts w:hint="eastAsia"/>
          <w:color w:val="auto"/>
          <w:lang w:eastAsia="zh-CN"/>
        </w:rPr>
        <w:t>）由于</w:t>
      </w:r>
      <w:r>
        <w:rPr>
          <w:rFonts w:hint="eastAsia"/>
          <w:color w:val="auto"/>
          <w:lang w:val="en-US" w:eastAsia="zh-CN"/>
        </w:rPr>
        <w:t>本</w:t>
      </w:r>
      <w:r>
        <w:rPr>
          <w:rFonts w:hint="eastAsia"/>
          <w:color w:val="auto"/>
          <w:lang w:eastAsia="zh-CN"/>
        </w:rPr>
        <w:t>项目的特殊性，在监理单位按时按质完成监理和咨询工作的前提下，相关费用</w:t>
      </w:r>
      <w:r>
        <w:rPr>
          <w:rFonts w:hint="eastAsia"/>
          <w:color w:val="auto"/>
          <w:lang w:val="en-US" w:eastAsia="zh-CN"/>
        </w:rPr>
        <w:t>在人民法院</w:t>
      </w:r>
      <w:r>
        <w:rPr>
          <w:rFonts w:hint="eastAsia"/>
          <w:color w:val="auto"/>
          <w:lang w:eastAsia="zh-CN"/>
        </w:rPr>
        <w:t>依法</w:t>
      </w:r>
      <w:r>
        <w:rPr>
          <w:rFonts w:hint="eastAsia"/>
          <w:color w:val="auto"/>
          <w:lang w:val="en-US" w:eastAsia="zh-CN"/>
        </w:rPr>
        <w:t>裁定梧桐房开进入正式重整程序后</w:t>
      </w:r>
      <w:r>
        <w:rPr>
          <w:rFonts w:hint="eastAsia"/>
          <w:color w:val="auto"/>
          <w:lang w:eastAsia="zh-CN"/>
        </w:rPr>
        <w:t>作为破产费用或共益债务，管理人将根据破产案件进展情况适时支付。该项费用可能存在迟延支付，竞选单位应充分考虑并妥当报价。管理人不承担逾期付款的违约责任且获选机构应按照承诺时间完成相应工作。</w:t>
      </w:r>
      <w:bookmarkStart w:id="0" w:name="_GoBack"/>
      <w:bookmarkEnd w:id="0"/>
    </w:p>
    <w:p w14:paraId="5D381D7C">
      <w:pPr>
        <w:pStyle w:val="12"/>
        <w:ind w:left="0" w:leftChars="0" w:firstLine="480" w:firstLineChars="200"/>
        <w:rPr>
          <w:rFonts w:hint="eastAsia"/>
          <w:color w:val="FF0000"/>
          <w:lang w:eastAsia="zh-CN"/>
        </w:rPr>
      </w:pPr>
    </w:p>
    <w:p w14:paraId="56C4832F">
      <w:pPr>
        <w:pStyle w:val="12"/>
        <w:ind w:left="0" w:leftChars="0" w:firstLine="480" w:firstLineChars="200"/>
      </w:pPr>
      <w:r>
        <w:t>特此公告。</w:t>
      </w:r>
    </w:p>
    <w:p w14:paraId="097E6558">
      <w:pPr>
        <w:pStyle w:val="12"/>
        <w:ind w:left="0" w:leftChars="0" w:firstLine="480" w:firstLineChars="200"/>
      </w:pPr>
    </w:p>
    <w:p w14:paraId="1408DEE0">
      <w:pPr>
        <w:pStyle w:val="12"/>
        <w:ind w:left="0" w:leftChars="0" w:firstLine="480" w:firstLineChars="200"/>
        <w:jc w:val="right"/>
      </w:pPr>
      <w:r>
        <w:rPr>
          <w:rFonts w:hint="eastAsia"/>
        </w:rPr>
        <w:t>毕节市梧桐房地产开发有限公司</w:t>
      </w:r>
      <w:r>
        <w:t>临时管理人</w:t>
      </w:r>
    </w:p>
    <w:p w14:paraId="68368D89">
      <w:pPr>
        <w:pStyle w:val="12"/>
        <w:ind w:left="0" w:leftChars="0" w:firstLine="480" w:firstLineChars="200"/>
        <w:jc w:val="right"/>
      </w:pPr>
      <w:r>
        <w:t>二〇二</w:t>
      </w:r>
      <w:r>
        <w:rPr>
          <w:rFonts w:hint="eastAsia"/>
          <w:lang w:val="en-US" w:eastAsia="zh-CN"/>
        </w:rPr>
        <w:t>六</w:t>
      </w:r>
      <w:r>
        <w:t>年</w:t>
      </w:r>
      <w:r>
        <w:rPr>
          <w:rFonts w:hint="eastAsia"/>
          <w:lang w:val="en-US" w:eastAsia="zh-CN"/>
        </w:rPr>
        <w:t>三</w:t>
      </w:r>
      <w:r>
        <w:t>月</w:t>
      </w:r>
      <w:r>
        <w:rPr>
          <w:rFonts w:hint="eastAsia"/>
          <w:lang w:val="en-US" w:eastAsia="zh-CN"/>
        </w:rPr>
        <w:t>三十一</w:t>
      </w:r>
      <w: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B82814-912C-44BE-A804-08204DCCCB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3561D4"/>
    <w:multiLevelType w:val="singleLevel"/>
    <w:tmpl w:val="BE3561D4"/>
    <w:lvl w:ilvl="0" w:tentative="0">
      <w:start w:val="4"/>
      <w:numFmt w:val="chineseCounting"/>
      <w:suff w:val="nothing"/>
      <w:lvlText w:val="（%1）"/>
      <w:lvlJc w:val="left"/>
      <w:rPr>
        <w:rFonts w:hint="eastAsia"/>
      </w:rPr>
    </w:lvl>
  </w:abstractNum>
  <w:abstractNum w:abstractNumId="1">
    <w:nsid w:val="6D6E739F"/>
    <w:multiLevelType w:val="singleLevel"/>
    <w:tmpl w:val="6D6E739F"/>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42E3A"/>
    <w:rsid w:val="00CD67D8"/>
    <w:rsid w:val="01D628BE"/>
    <w:rsid w:val="035166A0"/>
    <w:rsid w:val="03BA69DB"/>
    <w:rsid w:val="040573FF"/>
    <w:rsid w:val="083A2F96"/>
    <w:rsid w:val="0D8D4779"/>
    <w:rsid w:val="0EFE3455"/>
    <w:rsid w:val="13570030"/>
    <w:rsid w:val="17264BFF"/>
    <w:rsid w:val="1D1D33D9"/>
    <w:rsid w:val="1D5277E1"/>
    <w:rsid w:val="1F342E3A"/>
    <w:rsid w:val="21FA0237"/>
    <w:rsid w:val="26F907FB"/>
    <w:rsid w:val="28665E9B"/>
    <w:rsid w:val="2F13670D"/>
    <w:rsid w:val="30197C97"/>
    <w:rsid w:val="3571628A"/>
    <w:rsid w:val="37593959"/>
    <w:rsid w:val="380A05F1"/>
    <w:rsid w:val="3B3D2A8B"/>
    <w:rsid w:val="3C5D5B0E"/>
    <w:rsid w:val="3CAF79B9"/>
    <w:rsid w:val="3D023F8C"/>
    <w:rsid w:val="3F5E0748"/>
    <w:rsid w:val="41A27AEC"/>
    <w:rsid w:val="43337AAD"/>
    <w:rsid w:val="436C03B1"/>
    <w:rsid w:val="43706CD2"/>
    <w:rsid w:val="46B33089"/>
    <w:rsid w:val="4729480B"/>
    <w:rsid w:val="47B2035D"/>
    <w:rsid w:val="489839F7"/>
    <w:rsid w:val="4A1101A9"/>
    <w:rsid w:val="4F9D5D96"/>
    <w:rsid w:val="52073B0B"/>
    <w:rsid w:val="52F31B8D"/>
    <w:rsid w:val="5338205E"/>
    <w:rsid w:val="54616BFB"/>
    <w:rsid w:val="55015561"/>
    <w:rsid w:val="5525352F"/>
    <w:rsid w:val="564B1F53"/>
    <w:rsid w:val="58931AE5"/>
    <w:rsid w:val="5BE07737"/>
    <w:rsid w:val="5C6D3286"/>
    <w:rsid w:val="5D0F673A"/>
    <w:rsid w:val="5E3C6BDC"/>
    <w:rsid w:val="612C0D28"/>
    <w:rsid w:val="643E4FFA"/>
    <w:rsid w:val="64803865"/>
    <w:rsid w:val="64AA3487"/>
    <w:rsid w:val="65216040"/>
    <w:rsid w:val="65AA3C27"/>
    <w:rsid w:val="65B306B7"/>
    <w:rsid w:val="66613222"/>
    <w:rsid w:val="68CF78E1"/>
    <w:rsid w:val="6B166CD1"/>
    <w:rsid w:val="6D354E17"/>
    <w:rsid w:val="6DA030D3"/>
    <w:rsid w:val="6DC02F24"/>
    <w:rsid w:val="6DFF6189"/>
    <w:rsid w:val="7335524F"/>
    <w:rsid w:val="73422340"/>
    <w:rsid w:val="76405288"/>
    <w:rsid w:val="7A5213A8"/>
    <w:rsid w:val="7B937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val="0"/>
      <w:keepLines w:val="0"/>
      <w:widowControl w:val="0"/>
      <w:spacing w:before="240" w:beforeLines="0" w:after="120" w:line="360" w:lineRule="auto"/>
      <w:jc w:val="left"/>
      <w:outlineLvl w:val="0"/>
    </w:pPr>
    <w:rPr>
      <w:rFonts w:ascii="宋体" w:hAnsi="宋体" w:eastAsia="宋体" w:cs="宋体"/>
      <w:b/>
      <w:bCs/>
      <w:kern w:val="44"/>
      <w:sz w:val="24"/>
      <w:szCs w:val="30"/>
    </w:rPr>
  </w:style>
  <w:style w:type="paragraph" w:styleId="3">
    <w:name w:val="heading 2"/>
    <w:next w:val="1"/>
    <w:semiHidden/>
    <w:unhideWhenUsed/>
    <w:qFormat/>
    <w:uiPriority w:val="0"/>
    <w:pPr>
      <w:keepNext w:val="0"/>
      <w:keepLines w:val="0"/>
      <w:widowControl w:val="0"/>
      <w:spacing w:beforeAutospacing="0" w:after="120" w:afterAutospacing="0" w:line="360" w:lineRule="auto"/>
      <w:jc w:val="left"/>
      <w:outlineLvl w:val="1"/>
    </w:pPr>
    <w:rPr>
      <w:rFonts w:ascii="Times New Roman" w:hAnsi="Times New Roman" w:eastAsia="宋体" w:cs="Times New Roman"/>
      <w:b/>
      <w:sz w:val="24"/>
    </w:rPr>
  </w:style>
  <w:style w:type="paragraph" w:styleId="4">
    <w:name w:val="heading 3"/>
    <w:next w:val="1"/>
    <w:semiHidden/>
    <w:unhideWhenUsed/>
    <w:qFormat/>
    <w:uiPriority w:val="0"/>
    <w:pPr>
      <w:keepNext w:val="0"/>
      <w:keepLines w:val="0"/>
      <w:widowControl w:val="0"/>
      <w:spacing w:beforeAutospacing="0" w:after="120" w:afterAutospacing="0" w:line="360" w:lineRule="auto"/>
      <w:jc w:val="left"/>
      <w:outlineLvl w:val="2"/>
    </w:pPr>
    <w:rPr>
      <w:rFonts w:ascii="Times New Roman" w:hAnsi="Times New Roman" w:eastAsia="宋体" w:cs="Times New Roman"/>
      <w:b/>
      <w:sz w:val="24"/>
    </w:rPr>
  </w:style>
  <w:style w:type="paragraph" w:styleId="5">
    <w:name w:val="heading 4"/>
    <w:next w:val="1"/>
    <w:semiHidden/>
    <w:unhideWhenUsed/>
    <w:qFormat/>
    <w:uiPriority w:val="0"/>
    <w:pPr>
      <w:keepNext w:val="0"/>
      <w:keepLines w:val="0"/>
      <w:widowControl w:val="0"/>
      <w:spacing w:beforeAutospacing="0" w:after="120" w:afterAutospacing="0" w:line="360" w:lineRule="auto"/>
      <w:outlineLvl w:val="3"/>
    </w:pPr>
    <w:rPr>
      <w:rFonts w:ascii="Times New Roman" w:hAnsi="Times New Roman" w:eastAsia="宋体" w:cs="Times New Roman"/>
      <w:sz w:val="24"/>
    </w:rPr>
  </w:style>
  <w:style w:type="paragraph" w:styleId="6">
    <w:name w:val="heading 5"/>
    <w:next w:val="1"/>
    <w:semiHidden/>
    <w:unhideWhenUsed/>
    <w:qFormat/>
    <w:uiPriority w:val="0"/>
    <w:pPr>
      <w:keepNext w:val="0"/>
      <w:keepLines w:val="0"/>
      <w:widowControl w:val="0"/>
      <w:spacing w:beforeLines="0" w:beforeAutospacing="0" w:after="120" w:afterLines="0" w:afterAutospacing="0" w:line="440" w:lineRule="exact"/>
      <w:jc w:val="left"/>
      <w:outlineLvl w:val="4"/>
    </w:pPr>
    <w:rPr>
      <w:rFonts w:ascii="Times New Roman" w:hAnsi="Times New Roman" w:eastAsia="宋体" w:cs="Times New Roman"/>
      <w:sz w:val="24"/>
    </w:rPr>
  </w:style>
  <w:style w:type="paragraph" w:styleId="7">
    <w:name w:val="heading 6"/>
    <w:next w:val="1"/>
    <w:semiHidden/>
    <w:unhideWhenUsed/>
    <w:qFormat/>
    <w:uiPriority w:val="0"/>
    <w:pPr>
      <w:keepNext w:val="0"/>
      <w:keepLines w:val="0"/>
      <w:widowControl w:val="0"/>
      <w:spacing w:beforeLines="0" w:beforeAutospacing="0" w:after="120" w:afterLines="0" w:afterAutospacing="0" w:line="360" w:lineRule="auto"/>
      <w:jc w:val="left"/>
      <w:outlineLvl w:val="5"/>
    </w:pPr>
    <w:rPr>
      <w:rFonts w:ascii="Times New Roman" w:hAnsi="Times New Roman" w:eastAsia="宋体" w:cs="Times New Roman"/>
      <w:sz w:val="24"/>
    </w:rPr>
  </w:style>
  <w:style w:type="paragraph" w:styleId="8">
    <w:name w:val="heading 7"/>
    <w:next w:val="1"/>
    <w:semiHidden/>
    <w:unhideWhenUsed/>
    <w:qFormat/>
    <w:uiPriority w:val="0"/>
    <w:pPr>
      <w:keepNext w:val="0"/>
      <w:keepLines w:val="0"/>
      <w:widowControl w:val="0"/>
      <w:spacing w:beforeLines="0" w:beforeAutospacing="0" w:after="120" w:afterLines="0" w:afterAutospacing="0" w:line="360" w:lineRule="auto"/>
      <w:jc w:val="left"/>
      <w:outlineLvl w:val="6"/>
    </w:pPr>
    <w:rPr>
      <w:rFonts w:ascii="Times New Roman" w:hAnsi="Times New Roman" w:eastAsia="宋体" w:cs="Times New Roman"/>
      <w:sz w:val="24"/>
    </w:rPr>
  </w:style>
  <w:style w:type="paragraph" w:styleId="9">
    <w:name w:val="heading 8"/>
    <w:next w:val="1"/>
    <w:semiHidden/>
    <w:unhideWhenUsed/>
    <w:qFormat/>
    <w:uiPriority w:val="0"/>
    <w:pPr>
      <w:keepNext w:val="0"/>
      <w:keepLines w:val="0"/>
      <w:widowControl w:val="0"/>
      <w:spacing w:beforeLines="0" w:beforeAutospacing="0" w:after="120" w:afterLines="0" w:afterAutospacing="0" w:line="360" w:lineRule="auto"/>
      <w:jc w:val="left"/>
      <w:outlineLvl w:val="7"/>
    </w:pPr>
    <w:rPr>
      <w:rFonts w:ascii="Times New Roman" w:hAnsi="Times New Roman" w:eastAsia="宋体" w:cs="Times New Roman"/>
      <w:sz w:val="24"/>
    </w:rPr>
  </w:style>
  <w:style w:type="paragraph" w:styleId="10">
    <w:name w:val="heading 9"/>
    <w:next w:val="1"/>
    <w:semiHidden/>
    <w:unhideWhenUsed/>
    <w:qFormat/>
    <w:uiPriority w:val="0"/>
    <w:pPr>
      <w:keepNext w:val="0"/>
      <w:keepLines w:val="0"/>
      <w:widowControl w:val="0"/>
      <w:spacing w:beforeLines="0" w:beforeAutospacing="0" w:after="120" w:afterLines="0" w:afterAutospacing="0" w:line="360" w:lineRule="auto"/>
      <w:jc w:val="left"/>
      <w:outlineLvl w:val="8"/>
    </w:pPr>
    <w:rPr>
      <w:rFonts w:ascii="Times New Roman" w:hAnsi="Times New Roman" w:eastAsia="宋体" w:cs="Times New Roman"/>
      <w:sz w:val="24"/>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Body Text"/>
    <w:qFormat/>
    <w:uiPriority w:val="0"/>
    <w:pPr>
      <w:widowControl w:val="0"/>
      <w:spacing w:after="120" w:afterAutospacing="0" w:line="360" w:lineRule="auto"/>
      <w:ind w:firstLine="420" w:firstLineChars="200"/>
    </w:pPr>
    <w:rPr>
      <w:rFonts w:ascii="Times New Roman" w:hAnsi="Times New Roman" w:eastAsia="宋体" w:cs="Times New Roman"/>
      <w:sz w:val="24"/>
    </w:rPr>
  </w:style>
  <w:style w:type="paragraph" w:styleId="13">
    <w:name w:val="Subtitle"/>
    <w:qFormat/>
    <w:uiPriority w:val="0"/>
    <w:pPr>
      <w:widowControl w:val="0"/>
      <w:spacing w:beforeLines="0" w:beforeAutospacing="0" w:after="240" w:afterLines="0" w:afterAutospacing="0" w:line="240" w:lineRule="auto"/>
      <w:jc w:val="center"/>
      <w:outlineLvl w:val="9"/>
    </w:pPr>
    <w:rPr>
      <w:rFonts w:ascii="Times New Roman" w:hAnsi="Times New Roman" w:eastAsia="宋体" w:cs="Times New Roman"/>
      <w:kern w:val="28"/>
      <w:sz w:val="21"/>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Title"/>
    <w:qFormat/>
    <w:uiPriority w:val="0"/>
    <w:pPr>
      <w:spacing w:before="240" w:beforeAutospacing="0" w:after="240" w:afterAutospacing="0" w:line="240" w:lineRule="auto"/>
      <w:jc w:val="center"/>
      <w:outlineLvl w:val="9"/>
    </w:pPr>
    <w:rPr>
      <w:rFonts w:ascii="Times New Roman" w:hAnsi="Times New Roman" w:eastAsia="宋体" w:cs="Times New Roman"/>
      <w:b/>
      <w:sz w:val="32"/>
    </w:rPr>
  </w:style>
  <w:style w:type="table" w:styleId="17">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b15c68b2-b219-47bd-8663-df1edab74d01</errorID>
      <errorWord>(</errorWord>
      <group>L1_Format</group>
      <groupName>格式问题</groupName>
      <ability>L2_HalfPunc</ability>
      <abilityName>全半角检查</abilityName>
      <candidateList>
        <item>（</item>
      </candidateList>
      <explain>文本全半角错误。</explain>
      <paraID>4873866B</paraID>
      <start>249</start>
      <end>250</end>
      <status>unmodified</status>
      <modifiedWord/>
      <trackRevisions>false</trackRevisions>
    </reviewItem>
    <reviewItem>
      <errorID>a38eae4c-8e4b-41fe-87c2-c2bd4ec72bf1</errorID>
      <errorWord>)</errorWord>
      <group>L1_Format</group>
      <groupName>格式问题</groupName>
      <ability>L2_HalfPunc</ability>
      <abilityName>全半角检查</abilityName>
      <candidateList>
        <item>）</item>
      </candidateList>
      <explain>文本全半角错误。</explain>
      <paraID>4873866B</paraID>
      <start>261</start>
      <end>262</end>
      <status>unmodified</status>
      <modifiedWord/>
      <trackRevisions>false</trackRevisions>
    </reviewItem>
    <reviewItem>
      <errorID>ef3b480e-54d7-43ec-ae06-bffa8f881a6f</errorID>
      <errorWord>》显示</errorWord>
      <group>L1_Grammar</group>
      <groupName>语法问题</groupName>
      <ability>L2_Grammar</ability>
      <abilityName>语法错误</abilityName>
      <candidateList>
        <item>》</item>
      </candidateList>
      <explain/>
      <paraID>4047BC97</paraID>
      <start>17</start>
      <end>20</end>
      <status>unmodified</status>
      <modifiedWord/>
      <trackRevisions>false</trackRevisions>
    </reviewItem>
    <reviewItem>
      <errorID>0ebc2c08-1991-47bc-acb0-a3ac8a12c816</errorID>
      <errorWord>(</errorWord>
      <group>L1_Format</group>
      <groupName>格式问题</groupName>
      <ability>L2_HalfPunc</ability>
      <abilityName>全半角检查</abilityName>
      <candidateList>
        <item>（</item>
      </candidateList>
      <explain>文本全半角错误。</explain>
      <paraID>22CDFF17</paraID>
      <start>16</start>
      <end>17</end>
      <status>unmodified</status>
      <modifiedWord/>
      <trackRevisions>false</trackRevisions>
    </reviewItem>
    <reviewItem>
      <errorID>23374862-a723-49bf-a164-31f6cfac550d</errorID>
      <errorWord>)</errorWord>
      <group>L1_Format</group>
      <groupName>格式问题</groupName>
      <ability>L2_HalfPunc</ability>
      <abilityName>全半角检查</abilityName>
      <candidateList>
        <item>）</item>
      </candidateList>
      <explain>文本全半角错误。</explain>
      <paraID>22CDFF17</paraID>
      <start>24</start>
      <end>25</end>
      <status>unmodified</status>
      <modifiedWord/>
      <trackRevisions>false</trackRevisions>
    </reviewItem>
    <reviewItem>
      <errorID>abd49ceb-4e45-4858-a04d-9bc013009a2a</errorID>
      <errorWord>(</errorWord>
      <group>L1_Format</group>
      <groupName>格式问题</groupName>
      <ability>L2_HalfPunc</ability>
      <abilityName>全半角检查</abilityName>
      <candidateList>
        <item>（</item>
      </candidateList>
      <explain>文本全半角错误。</explain>
      <paraID>2F8B76B5</paraID>
      <start>37</start>
      <end>38</end>
      <status>unmodified</status>
      <modifiedWord/>
      <trackRevisions>false</trackRevisions>
    </reviewItem>
    <reviewItem>
      <errorID>024a8110-57b6-407a-ac50-46ece23a86b3</errorID>
      <errorWord>(</errorWord>
      <group>L1_Format</group>
      <groupName>格式问题</groupName>
      <ability>L2_HalfPunc</ability>
      <abilityName>全半角检查</abilityName>
      <candidateList>
        <item>（</item>
      </candidateList>
      <explain>文本全半角错误。</explain>
      <paraID>3F6C9E07</paraID>
      <start>16</start>
      <end>17</end>
      <status>unmodified</status>
      <modifiedWord/>
      <trackRevisions>false</trackRevisions>
    </reviewItem>
    <reviewItem>
      <errorID>b9e05e38-4df1-46bc-89ad-1d50b9a631de</errorID>
      <errorWord>)</errorWord>
      <group>L1_Format</group>
      <groupName>格式问题</groupName>
      <ability>L2_HalfPunc</ability>
      <abilityName>全半角检查</abilityName>
      <candidateList>
        <item>）</item>
      </candidateList>
      <explain>文本全半角错误。</explain>
      <paraID>3F6C9E07</paraID>
      <start>29</start>
      <end>30</end>
      <status>unmodified</status>
      <modifiedWord/>
      <trackRevisions>false</trackRevisions>
    </reviewItem>
    <reviewItem>
      <errorID>18f163dd-bbae-4ac5-9ee8-4ca7c04bf690</errorID>
      <errorWord>监理服务</errorWord>
      <group>L1_Grammar</group>
      <groupName>语法问题</groupName>
      <ability>L2_Grammar</ability>
      <abilityName>语法错误</abilityName>
      <candidateList>
        <item>监理</item>
      </candidateList>
      <explain/>
      <paraID>492E7CD2</paraID>
      <start>10</start>
      <end>14</end>
      <status>unmodified</status>
      <modifiedWord/>
      <trackRevisions>false</trackRevisions>
    </reviewItem>
    <reviewItem>
      <errorID>fa447630-8ca1-4997-8bfa-f9c39398d13c</errorID>
      <errorWord>:</errorWord>
      <group>L1_Punc</group>
      <groupName>标点问题</groupName>
      <ability>L2_Punc</ability>
      <abilityName>标点符号检查</abilityName>
      <candidateList>
        <item>：</item>
      </candidateList>
      <explain/>
      <paraID>492E7CD2</paraID>
      <start>25</start>
      <end>26</end>
      <status>unmodified</status>
      <modifiedWord/>
      <trackRevisions>false</trackRevisions>
    </reviewItem>
    <reviewItem>
      <errorID>84480526-642e-47bc-831f-aa7e3d9be787</errorID>
      <errorWord>其它</errorWord>
      <group>L1_Word</group>
      <groupName>字词问题</groupName>
      <ability>L2_Alias</ability>
      <abilityName>也作/曾用词</abilityName>
      <candidateList>
        <item>其他</item>
      </candidateList>
      <explain>词汇[其它]为不规范表述或旧称，其规范书面表述为[其他]。</explain>
      <paraID>492E7CD2</paraID>
      <start>74</start>
      <end>76</end>
      <status>unmodified</status>
      <modifiedWord/>
      <trackRevisions>false</trackRevisions>
    </reviewItem>
    <reviewItem>
      <errorID>e99f075b-5c63-4520-810a-0dc59d56498c</errorID>
      <errorWord>)；</errorWord>
      <group>L1_Punc</group>
      <groupName>标点问题</groupName>
      <ability>L2_Punc</ability>
      <abilityName>标点符号检查</abilityName>
      <candidateList>
        <item>。</item>
      </candidateList>
      <explain/>
      <paraID>492E7CD2</paraID>
      <start>78</start>
      <end>80</end>
      <status>unmodified</status>
      <modifiedWord/>
      <trackRevisions>false</trackRevisions>
    </reviewItem>
    <reviewItem>
      <errorID>73cc06f8-b7ec-4607-858d-469e1eae0bd6</errorID>
      <errorWord>(</errorWord>
      <group>L1_Format</group>
      <groupName>格式问题</groupName>
      <ability>L2_HalfPunc</ability>
      <abilityName>全半角检查</abilityName>
      <candidateList>
        <item>（</item>
      </candidateList>
      <explain>文本全半角错误。</explain>
      <paraID>79D87E14</paraID>
      <start>15</start>
      <end>16</end>
      <status>unmodified</status>
      <modifiedWord/>
      <trackRevisions>false</trackRevisions>
    </reviewItem>
    <reviewItem>
      <errorID>973c0a8e-1e75-41e0-ab27-34e4ad64bdc5</errorID>
      <errorWord>)</errorWord>
      <group>L1_Format</group>
      <groupName>格式问题</groupName>
      <ability>L2_HalfPunc</ability>
      <abilityName>全半角检查</abilityName>
      <candidateList>
        <item>）</item>
      </candidateList>
      <explain>文本全半角错误。</explain>
      <paraID>79D87E14</paraID>
      <start>22</start>
      <end>23</end>
      <status>unmodified</status>
      <modifiedWord/>
      <trackRevisions>false</trackRevisions>
    </reviewItem>
    <reviewItem>
      <errorID>042acf52-8fbd-4f01-9e3a-60569c5490c9</errorID>
      <errorWord>(</errorWord>
      <group>L1_Format</group>
      <groupName>格式问题</groupName>
      <ability>L2_HalfPunc</ability>
      <abilityName>全半角检查</abilityName>
      <candidateList>
        <item>（</item>
      </candidateList>
      <explain>文本全半角错误。</explain>
      <paraID>44B07EEE</paraID>
      <start>17</start>
      <end>18</end>
      <status>unmodified</status>
      <modifiedWord/>
      <trackRevisions>false</trackRevisions>
    </reviewItem>
    <reviewItem>
      <errorID>5ee5ae90-80d5-4705-bfa5-e9479425ff2b</errorID>
      <errorWord>)</errorWord>
      <group>L1_Format</group>
      <groupName>格式问题</groupName>
      <ability>L2_HalfPunc</ability>
      <abilityName>全半角检查</abilityName>
      <candidateList>
        <item>）</item>
      </candidateList>
      <explain>文本全半角错误。</explain>
      <paraID>44B07EEE</paraID>
      <start>24</start>
      <end>25</end>
      <status>unmodified</status>
      <modifiedWord/>
      <trackRevisions>false</trackRevisions>
    </reviewItem>
    <reviewItem>
      <errorID>f09952b9-0e19-43f5-9791-47d28392e7bb</errorID>
      <errorWord>(原件加盖公章)</errorWord>
      <group>L1_Punc</group>
      <groupName>标点问题</groupName>
      <ability>L2_Punc</ability>
      <abilityName>标点符号检查</abilityName>
      <candidateList>
        <item>（原件加盖公章）</item>
      </candidateList>
      <explain/>
      <paraID>44B07EEE</paraID>
      <start>39</start>
      <end>47</end>
      <status>unmodified</status>
      <modifiedWord/>
      <trackRevisions>false</trackRevisions>
    </reviewItem>
    <reviewItem>
      <errorID>e06ade6f-c59d-46ea-8c54-9beb84cc7421</errorID>
      <errorWord>需加盖</errorWord>
      <group>L1_Word</group>
      <groupName>字词问题</groupName>
      <ability>L2_Typo</ability>
      <abilityName>字词错误</abilityName>
      <candidateList>
        <item>须加盖</item>
      </candidateList>
      <explain>存在发音相同字词的误用。</explain>
      <paraID>777A0C45</paraID>
      <start>35</start>
      <end>38</end>
      <status>modified</status>
      <modifiedWord>须加盖</modifiedWord>
      <trackRevisions>false</trackRevisions>
    </reviewItem>
    <reviewItem>
      <errorID>cf4f019c-7988-42aa-88ed-0f4e991aa275</errorID>
      <errorWord>00时</errorWord>
      <group>L1_Word</group>
      <groupName>字词问题</groupName>
      <ability>L2_Typo</ability>
      <abilityName>字词错误</abilityName>
      <candidateList>
        <item>00</item>
      </candidateList>
      <explain/>
      <paraID> A76ED49</paraID>
      <start>30</start>
      <end>33</end>
      <status>unmodified</status>
      <modifiedWord/>
      <trackRevisions>false</trackRevisions>
    </reviewItem>
    <reviewItem>
      <errorID>b15dbac6-34fe-4fa2-b09a-021d7d4bb18f</errorID>
      <errorWord>壹式叁份</errorWord>
      <group>L1_Other</group>
      <groupName>其他问题</groupName>
      <ability>L2_Consistency</ability>
      <abilityName>一致性检查</abilityName>
      <candidateList>
        <item>一式三份</item>
      </candidateList>
      <explain>术语一致性，‘壹式叁份’为大写表述，文中其他地方用‘一式三份’，应统一</explain>
      <paraID>6819E317</paraID>
      <start>15</start>
      <end>19</end>
      <status>modified</status>
      <modifiedWord>一式三份</modifiedWord>
      <trackRevisions>false</trackRevisions>
    </reviewItem>
    <reviewItem>
      <errorID>84667066-c6e9-4961-8038-e10402898a86</errorID>
      <errorWord>“</errorWord>
      <group>L1_Punc</group>
      <groupName>标点问题</groupName>
      <ability>L2_Punc</ability>
      <abilityName>标点符号检查</abilityName>
      <candidateList>
        <item>：“</item>
      </candidateList>
      <explain/>
      <paraID> FB82732</paraID>
      <start>71</start>
      <end>72</end>
      <status>unmodified</status>
      <modifiedWord/>
      <trackRevisions>false</trackRevisions>
    </reviewItem>
  </reviewItems>
  <config/>
</contractReview>
</file>

<file path=customXml/itemProps1.xml><?xml version="1.0" encoding="utf-8"?>
<ds:datastoreItem xmlns:ds="http://schemas.openxmlformats.org/officeDocument/2006/customXml" ds:itemID="{503ebfa0-80f0-41bb-8f6b-6f8f84e990cd}">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2388</Words>
  <Characters>2631</Characters>
  <Lines>0</Lines>
  <Paragraphs>0</Paragraphs>
  <TotalTime>13</TotalTime>
  <ScaleCrop>false</ScaleCrop>
  <LinksUpToDate>false</LinksUpToDate>
  <CharactersWithSpaces>2631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2026-01-07T03:49:00Z</dcterms:created>
  <dc:creator>mR.Zeng</dc:creator>
  <cp:lastModifiedBy>法客</cp:lastModifiedBy>
  <dcterms:modified xsi:type="dcterms:W3CDTF">2026-03-31T07:20:20Z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7B06EDE5310B467F8F212EEC7B5D495D_13</vt:lpwstr>
  </property>
  <property fmtid="{D5CDD505-2E9C-101B-9397-08002B2CF9AE}" pid="4" name="KSOTemplateDocerSaveRecord">
    <vt:lpwstr>eyJoZGlkIjoiZmQ3MjBjYTg1MDlkOWI5OGZhMTNmOTAxNTAyMDc0MmIiLCJ1c2VySWQiOiIzMDczMzQ2MjMifQ==</vt:lpwstr>
  </property>
</Properties>
</file>