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B2AAAB3">
      <w:pPr>
        <w:pStyle w:val="style0"/>
        <w:rPr>
          <w:lang w:val="en-US"/>
        </w:rPr>
      </w:pPr>
      <w:bookmarkStart w:id="0" w:name="_GoBack"/>
      <w:bookmarkEnd w:id="0"/>
      <w:r>
        <w:rPr>
          <w:lang w:val="en-US"/>
        </w:rPr>
        <w:t>湖南省衡阳市中级人民法院</w:t>
      </w:r>
    </w:p>
    <w:p w14:paraId="06D49081">
      <w:pPr>
        <w:pStyle w:val="style0"/>
        <w:rPr>
          <w:lang w:val="en-US"/>
        </w:rPr>
      </w:pPr>
      <w:r>
        <w:rPr>
          <w:lang w:val="en-US"/>
        </w:rPr>
        <w:t>公告</w:t>
      </w:r>
    </w:p>
    <w:p w14:paraId="6F9C1CC2">
      <w:pPr>
        <w:pStyle w:val="style0"/>
        <w:rPr>
          <w:lang w:val="en-US"/>
        </w:rPr>
      </w:pPr>
      <w:r>
        <w:rPr>
          <w:lang w:val="en-US"/>
        </w:rPr>
        <w:t>(2026)湘04强清3号</w:t>
      </w:r>
    </w:p>
    <w:p w14:paraId="11181E6C">
      <w:pPr>
        <w:pStyle w:val="style0"/>
        <w:rPr>
          <w:lang w:val="en-US"/>
        </w:rPr>
      </w:pPr>
      <w:r>
        <w:rPr>
          <w:lang w:val="en-US"/>
        </w:rPr>
        <w:t>本院根据申请人衡阳市市场监督局的申请，于2026年2月12日裁定受理衡阳市多方文化娱乐发展有限公司（以下简称多方娱乐公司)强制清算一案，并于2026年3月12日指定湖南弘一（衡阳）律师事务所为多方娱乐公司清算组。多方娱乐公司的债权人应在2026年4月27日前，向多方娱乐公司清算组&lt;通讯地址：湖南省衡阳市蒸湘区长丰大道46号；联系人：刘祝明(13017172727)&gt;申报债权，书面说明债权数额，有无财产担保及是否属于连带债权，并提供相关证据材料。如未能在上述期限内申请债权的，可以在破产财产最后分配前补充申报，但对此前已进行分配无权要求补充分配，同时要承担为审查和确认补充申报债权的费用。未申报债权的，不得依照《中华人民共和国公司法》规定程序行使权利。多方娱乐公司债务人或者财产持有人应当向多方娱乐公司清算组清偿债务或者交付财产。</w:t>
      </w:r>
    </w:p>
    <w:p w14:paraId="B5F03000">
      <w:pPr>
        <w:pStyle w:val="style0"/>
        <w:rPr>
          <w:lang w:val="en-US"/>
        </w:rPr>
      </w:pPr>
      <w:r>
        <w:rPr>
          <w:lang w:val="en-US"/>
        </w:rPr>
        <w:t>本院定于2026年4月28日15：00时在本院第二审判庭召开第一次债权人会议。依法申报债权的债权人有权参加债权人会议。参加债权人会议的债权系法人或者其他组织的，应当提交营业执照、法定代表人或负责人身份证明书及身份证复印件；参加会议的债权人系自然人的，应提交个人身份证明；如果委托代理人出席会议，还需要提交特别授权委托书，委托代理人的身份证件或律师执业证，委托代理人是律师的还应提交律师事务所指派函。特此公告。</w:t>
      </w:r>
    </w:p>
    <w:p w14:paraId="CC281E36">
      <w:pPr>
        <w:pStyle w:val="style0"/>
        <w:rPr>
          <w:lang w:val="en-US"/>
        </w:rPr>
      </w:pPr>
      <w:r>
        <w:rPr>
          <w:lang w:val="en-US"/>
        </w:rPr>
        <w:t>湖南省衡阳市中级人民法院</w:t>
      </w:r>
    </w:p>
    <w:p w14:paraId="86680561">
      <w:pPr>
        <w:pStyle w:val="style0"/>
        <w:rPr/>
      </w:pPr>
      <w:r>
        <w:rPr>
          <w:lang w:val="en-US"/>
        </w:rPr>
        <w:t>二零二六年三月十二日</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581</Words>
  <Characters>619</Characters>
  <Application>WPS Office</Application>
  <Paragraphs>7</Paragraphs>
  <CharactersWithSpaces>619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2026-03-17T04:56:54Z</dcterms:created>
  <dc:creator>GLA-AL00</dc:creator>
  <lastModifiedBy>GLA-AL00</lastModifiedBy>
  <dcterms:modified xsi:type="dcterms:W3CDTF">2026-03-17T04:59:56Z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491d2016f7444b499d894e27053a97bc_21</vt:lpwstr>
  </property>
</Properties>
</file>