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543"/>
        <w:gridCol w:w="728"/>
        <w:gridCol w:w="697"/>
        <w:gridCol w:w="818"/>
        <w:gridCol w:w="750"/>
      </w:tblGrid>
      <w:tr w14:paraId="5430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B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表1：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管理人接收申报材料清单</w:t>
            </w:r>
          </w:p>
          <w:p w14:paraId="3D3CA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法人或其他组织专用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1541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D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债务人：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乐宜嘉家居集团有限公司</w:t>
            </w:r>
          </w:p>
        </w:tc>
      </w:tr>
      <w:tr w14:paraId="301F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申报人：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57AC7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B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4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份数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1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页数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7B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原/复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0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1DA8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A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6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债权申报书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F4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9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F2B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9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营业执照/组织机构代码证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6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7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365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法定代表人/负责人身份证明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4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6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E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1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5D9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E6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3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A7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0E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D7A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代理人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/律师事务所函、律师执业证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1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3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468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1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A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网络债权人会议参会信息确认书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C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4E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8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2FE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99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C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申报债权人送达地址及信息确认表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AA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C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2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79D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D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0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诚信申报承诺函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C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C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AF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45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8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B629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B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E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F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A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71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D8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B4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2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9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以下请列明所提交的证明债权发生的事实及其数额的材料（请逐份详列）</w:t>
            </w:r>
          </w:p>
        </w:tc>
      </w:tr>
      <w:tr w14:paraId="0D97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A2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1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1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0C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FA2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C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7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7E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5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2B28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1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2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F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1A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E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AB13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4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C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C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FFA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9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C5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52A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F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F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C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9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010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3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F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D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F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B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0AD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7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9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2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D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2244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4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5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A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4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9AB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6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44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9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C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6C9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FC4C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（本清单需一式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份）</w:t>
            </w:r>
          </w:p>
          <w:p w14:paraId="00F1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申报人（签名纳指印/盖章）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接收人：</w:t>
            </w:r>
          </w:p>
        </w:tc>
      </w:tr>
      <w:tr w14:paraId="1A0F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5B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F1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51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电话：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</w:tc>
      </w:tr>
      <w:tr w14:paraId="19A0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6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53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FC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5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日期：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日期：</w:t>
            </w:r>
          </w:p>
          <w:p w14:paraId="090A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49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表1：管理人接收申报材料清单</w:t>
            </w:r>
          </w:p>
          <w:p w14:paraId="4AAE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（个人专用）</w:t>
            </w:r>
          </w:p>
        </w:tc>
      </w:tr>
      <w:tr w14:paraId="54DC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债务人：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乐宜嘉家居集团有限公司</w:t>
            </w:r>
          </w:p>
        </w:tc>
      </w:tr>
      <w:tr w14:paraId="73DC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申报人：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60CC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4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02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份数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8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页数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原/复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1880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B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债权申报书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0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2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4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124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4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中华人民共和国居民身份证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4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3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1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7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153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C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4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25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9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2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B8E4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0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代理人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/律师事务所函、律师执业证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3C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CA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D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D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762A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0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网络债权人会议参会信息确认书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F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3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A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449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1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5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4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申报债权人送达地址及信息确认表</w:t>
            </w:r>
          </w:p>
        </w:tc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1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2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C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2687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46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D0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诚信申报承诺函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10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D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0E8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3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D8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7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0E17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F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FC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6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20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8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以下请列明所提交的证明债权发生的事实及其数额的材料（请逐份详列）</w:t>
            </w:r>
          </w:p>
        </w:tc>
      </w:tr>
      <w:tr w14:paraId="66B8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7E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7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2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A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F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7CC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8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95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BC5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9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B3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8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E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6AAB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F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0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64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1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0F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7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4C36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0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D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62C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2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2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9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A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8EC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3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4D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1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F3F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AF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4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A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4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BDC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E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3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49FE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2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1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4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9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31E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A2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5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4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D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C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2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D93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CA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（本清单需一式二份）</w:t>
            </w:r>
          </w:p>
          <w:p w14:paraId="51425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申报人（签名纳指印/盖章）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：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接收人：</w:t>
            </w:r>
          </w:p>
          <w:p w14:paraId="4448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电话：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电话：</w:t>
            </w:r>
          </w:p>
          <w:p w14:paraId="4858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日期：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</w:p>
          <w:p w14:paraId="076C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7C9A90D">
      <w:pPr>
        <w:rPr>
          <w:rFonts w:hint="eastAsia" w:ascii="仿宋" w:hAnsi="仿宋" w:eastAsia="仿宋" w:cs="仿宋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GB"/>
        </w:rPr>
        <w:br w:type="page"/>
      </w:r>
    </w:p>
    <w:tbl>
      <w:tblPr>
        <w:tblStyle w:val="4"/>
        <w:tblW w:w="8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939"/>
        <w:gridCol w:w="737"/>
        <w:gridCol w:w="1920"/>
        <w:gridCol w:w="2015"/>
      </w:tblGrid>
      <w:tr w14:paraId="5BF5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  <w:t>乐宜嘉家居集团有限公司破产清算案</w:t>
            </w:r>
          </w:p>
          <w:p w14:paraId="09913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/>
              </w:rPr>
              <w:t>表2：债权申报书</w:t>
            </w:r>
          </w:p>
        </w:tc>
      </w:tr>
      <w:tr w14:paraId="4B1D4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A4BD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债权申报人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27F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2D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委托代理人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7003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28B01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2EC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申报债权总额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B66C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DB8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申报日期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3676F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2E4B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9816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于法院破产受理日债权是否已到期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42BE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0A0CC0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是否经法院或仲裁机构裁决（案号）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ACC5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19BD3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F78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是否有连带债务人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354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E9C21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连带债务人名称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77B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0FCC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501F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有/无财产担保</w:t>
            </w:r>
          </w:p>
        </w:tc>
        <w:tc>
          <w:tcPr>
            <w:tcW w:w="66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37B96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5354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A36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申报债权情况说明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68C426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请准确填写债权数额、相关依据以及计算标准。附利息的债权自破产申请受理时起停止计息，利息计算截止时间为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2026年3月31日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/>
              </w:rPr>
              <w:t>。</w:t>
            </w:r>
          </w:p>
        </w:tc>
      </w:tr>
      <w:tr w14:paraId="276F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31980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债权计算清单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00F55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债权本金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928E9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金额</w:t>
            </w:r>
          </w:p>
        </w:tc>
      </w:tr>
      <w:tr w14:paraId="0E2B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99205D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395B50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利息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C10ED0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金额：</w:t>
            </w:r>
          </w:p>
        </w:tc>
      </w:tr>
      <w:tr w14:paraId="7DCA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9A02A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7E515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10BC6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计算过程：</w:t>
            </w:r>
          </w:p>
        </w:tc>
      </w:tr>
      <w:tr w14:paraId="3DD7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37BB4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947165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赔偿金、违约金（如有）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8C98F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金额：</w:t>
            </w:r>
          </w:p>
        </w:tc>
      </w:tr>
      <w:tr w14:paraId="7390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7E73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E2888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3173B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计算过程：</w:t>
            </w:r>
          </w:p>
        </w:tc>
      </w:tr>
      <w:tr w14:paraId="4972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3847A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8E4912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其他损失（如有）</w:t>
            </w:r>
          </w:p>
          <w:p w14:paraId="25744EE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D097E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金额：</w:t>
            </w:r>
          </w:p>
        </w:tc>
      </w:tr>
      <w:tr w14:paraId="4D21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8DD4B7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73C594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DD74EA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计算过程：</w:t>
            </w:r>
          </w:p>
        </w:tc>
      </w:tr>
      <w:tr w14:paraId="24001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E9A2CE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921F78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诉讼费（如有）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1800BD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14:paraId="05B4C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63F47C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1FE026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合计：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9BF994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 </w:t>
            </w:r>
          </w:p>
        </w:tc>
      </w:tr>
      <w:tr w14:paraId="6D76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458159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备注（债权发生经过、事实理由及裁判内容）</w:t>
            </w:r>
          </w:p>
        </w:tc>
        <w:tc>
          <w:tcPr>
            <w:tcW w:w="661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8D9374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</w:p>
        </w:tc>
      </w:tr>
      <w:tr w14:paraId="101C9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1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 w14:paraId="3F777A85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</w:p>
          <w:p w14:paraId="27593F0F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填报人确认签名或盖章：</w:t>
            </w:r>
          </w:p>
        </w:tc>
      </w:tr>
      <w:tr w14:paraId="318B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81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C610FCB">
            <w:pPr>
              <w:widowControl/>
              <w:spacing w:after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/>
              </w:rPr>
              <w:t>日期：</w:t>
            </w:r>
          </w:p>
        </w:tc>
      </w:tr>
    </w:tbl>
    <w:p w14:paraId="268DDAD3">
      <w:pPr>
        <w:rPr>
          <w:rFonts w:hint="eastAsia" w:ascii="仿宋" w:hAnsi="仿宋" w:eastAsia="仿宋" w:cs="仿宋"/>
          <w:kern w:val="0"/>
          <w:sz w:val="21"/>
          <w:szCs w:val="21"/>
          <w:lang w:val="en-GB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GB"/>
        </w:rPr>
        <w:br w:type="page"/>
      </w:r>
    </w:p>
    <w:tbl>
      <w:tblPr>
        <w:tblStyle w:val="4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17"/>
        <w:gridCol w:w="3131"/>
        <w:gridCol w:w="1056"/>
        <w:gridCol w:w="1196"/>
      </w:tblGrid>
      <w:tr w14:paraId="34FA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77" w:type="dxa"/>
            <w:gridSpan w:val="5"/>
            <w:shd w:val="clear" w:color="auto" w:fill="auto"/>
            <w:vAlign w:val="top"/>
          </w:tcPr>
          <w:p w14:paraId="00B204BE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表3：申报债权人送达地址及信息确认表</w:t>
            </w:r>
          </w:p>
          <w:p w14:paraId="0288B00A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360" w:firstLineChars="20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7E9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768C66F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告</w:t>
            </w:r>
          </w:p>
          <w:p w14:paraId="0DCC8D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知</w:t>
            </w:r>
          </w:p>
          <w:p w14:paraId="4D37DB2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事</w:t>
            </w:r>
          </w:p>
          <w:p w14:paraId="4730BC9F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项</w:t>
            </w:r>
          </w:p>
        </w:tc>
        <w:tc>
          <w:tcPr>
            <w:tcW w:w="7500" w:type="dxa"/>
            <w:gridSpan w:val="4"/>
            <w:shd w:val="clear" w:color="auto" w:fill="auto"/>
            <w:vAlign w:val="center"/>
          </w:tcPr>
          <w:p w14:paraId="606053DF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对申报人告知如下：</w:t>
            </w:r>
          </w:p>
          <w:p w14:paraId="3D63CC7F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一、申报人申报债权时应当向管理人提供或者确认自己准确的送达地址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，并填写送达地址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确认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。</w:t>
            </w:r>
          </w:p>
          <w:p w14:paraId="2715BE02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二、申报人在本案终结前变更送达地址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或银行信息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的，应当及时以书面方式告知管理人。</w:t>
            </w:r>
          </w:p>
          <w:p w14:paraId="29DB7BD7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三、申报人拒绝提供自己的送达地址，经管理人告知后仍不提供的：自然人以其户籍登记中的住所地或者经常居住地为送达地址；法人或者其他组织以其工商登记或者其他依法登记、备案中的住所地为送达地址。</w:t>
            </w:r>
          </w:p>
          <w:p w14:paraId="61A8E262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四、为提高工作效率，并降低文件传送的成本。管理人对案件中的部分信息将酌情采用传真、电子邮件、短信等电子送达方式送达申报人。</w:t>
            </w:r>
          </w:p>
          <w:p w14:paraId="058BC67B">
            <w:pPr>
              <w:keepNext w:val="0"/>
              <w:keepLines w:val="0"/>
              <w:pageBreakBefore w:val="0"/>
              <w:widowControl/>
              <w:tabs>
                <w:tab w:val="left" w:pos="-9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、因申报人提供或者确认的送达地址不准确、拒不提供送达地址、送达地址变更未及时告知管理人、申报人本人或者申报人指定的代收人拒绝签收，导致相关文书未能被申报人实际接收的，文书寄出之日视为送达之日。采取电子送达方式的，管理人对应系统显示发送成功的日期为送达之日。</w:t>
            </w:r>
          </w:p>
        </w:tc>
      </w:tr>
      <w:tr w14:paraId="2A77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14:paraId="142D7579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送</w:t>
            </w:r>
          </w:p>
          <w:p w14:paraId="3A33425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达</w:t>
            </w:r>
          </w:p>
          <w:p w14:paraId="7EFF3B5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地</w:t>
            </w:r>
          </w:p>
          <w:p w14:paraId="4B407B5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7BF6098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 报 人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7CFC0142">
            <w:pPr>
              <w:widowControl/>
              <w:wordWrap w:val="0"/>
              <w:spacing w:before="100" w:beforeAutospacing="1" w:after="100" w:afterAutospacing="1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2CE9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58BDF5A0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35A98E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送达地址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59749E4E">
            <w:pPr>
              <w:widowControl/>
              <w:wordWrap w:val="0"/>
              <w:spacing w:before="100" w:beforeAutospacing="1" w:after="100" w:afterAutospacing="1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1DD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75C535E4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209A21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收 件 人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3E12669"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71EE3FB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邮  编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AD5DBF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1F57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77BCE2C7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8C09B6A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联系电话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9783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E2AD63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手  机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254B1F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677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0002C001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0018F917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电子邮箱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2D793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C9FF3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传  真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0516C03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0B20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restart"/>
            <w:vAlign w:val="center"/>
          </w:tcPr>
          <w:p w14:paraId="19007273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银</w:t>
            </w:r>
          </w:p>
          <w:p w14:paraId="4F8434F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行</w:t>
            </w:r>
          </w:p>
          <w:p w14:paraId="6EB1DAA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信</w:t>
            </w:r>
          </w:p>
          <w:p w14:paraId="6E54490F"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5451C65F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开户银行</w:t>
            </w:r>
          </w:p>
          <w:p w14:paraId="5262D98C"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（具体到支行）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12C6773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491A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6534832E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76813F1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户名</w:t>
            </w:r>
          </w:p>
          <w:p w14:paraId="382014F0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（债权人名称）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6DA61E8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5CB0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77" w:type="dxa"/>
            <w:vMerge w:val="continue"/>
            <w:vAlign w:val="center"/>
          </w:tcPr>
          <w:p w14:paraId="111FDC70">
            <w:pPr>
              <w:widowControl/>
              <w:spacing w:line="500" w:lineRule="exac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86FB48E"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账号</w:t>
            </w:r>
          </w:p>
        </w:tc>
        <w:tc>
          <w:tcPr>
            <w:tcW w:w="5383" w:type="dxa"/>
            <w:gridSpan w:val="3"/>
            <w:shd w:val="clear" w:color="auto" w:fill="auto"/>
            <w:vAlign w:val="center"/>
          </w:tcPr>
          <w:p w14:paraId="6E3289B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</w:pPr>
          </w:p>
        </w:tc>
      </w:tr>
      <w:tr w14:paraId="055A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62403ED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申</w:t>
            </w:r>
          </w:p>
          <w:p w14:paraId="33AFB32E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报</w:t>
            </w:r>
          </w:p>
          <w:p w14:paraId="141F933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人</w:t>
            </w:r>
          </w:p>
          <w:p w14:paraId="66273AC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确</w:t>
            </w:r>
          </w:p>
          <w:p w14:paraId="6D6A410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认</w:t>
            </w:r>
          </w:p>
        </w:tc>
        <w:tc>
          <w:tcPr>
            <w:tcW w:w="7500" w:type="dxa"/>
            <w:gridSpan w:val="4"/>
            <w:shd w:val="clear" w:color="auto" w:fill="auto"/>
            <w:vAlign w:val="center"/>
          </w:tcPr>
          <w:p w14:paraId="4B8B14D2">
            <w:pPr>
              <w:widowControl/>
              <w:wordWrap w:val="0"/>
              <w:spacing w:before="100" w:beforeAutospacing="1" w:after="100" w:afterAutospacing="1"/>
              <w:ind w:firstLine="480" w:firstLineChars="200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本人已经详细阅读了告知事项，并同意管理人采取电子送达方式送达文件。本人保证上栏所提供的送达地址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及银行信息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各项内容正确、有效。若变更送达地址或其他联系方式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银行信息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，将及时以书面方式告知管理人，未及时告知管理人导致相关文书不能送达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或无法收款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法律后果由本人承担。</w:t>
            </w:r>
          </w:p>
          <w:p w14:paraId="596ED110">
            <w:pPr>
              <w:widowControl/>
              <w:wordWrap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申报人（签章）：</w:t>
            </w:r>
          </w:p>
          <w:p w14:paraId="43C3F585">
            <w:pPr>
              <w:widowControl/>
              <w:wordWrap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</w:t>
            </w:r>
          </w:p>
          <w:p w14:paraId="2D5911D3">
            <w:pPr>
              <w:widowControl/>
              <w:wordWrap w:val="0"/>
              <w:ind w:firstLine="4560" w:firstLineChars="19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 月    日 </w:t>
            </w:r>
          </w:p>
        </w:tc>
      </w:tr>
    </w:tbl>
    <w:p w14:paraId="0F91A6B2">
      <w:pPr>
        <w:rPr>
          <w:rFonts w:hint="eastAsia" w:ascii="仿宋" w:hAnsi="仿宋" w:eastAsia="仿宋" w:cs="仿宋"/>
          <w:kern w:val="0"/>
          <w:sz w:val="21"/>
          <w:szCs w:val="21"/>
          <w:lang w:val="en-GB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GB"/>
        </w:rPr>
        <w:br w:type="page"/>
      </w:r>
    </w:p>
    <w:p w14:paraId="755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网络债权人会议参会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信息确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认书</w:t>
      </w:r>
    </w:p>
    <w:p w14:paraId="7729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债权人名称：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    </w:t>
      </w:r>
    </w:p>
    <w:p w14:paraId="6D93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债权人授权参加乐宜嘉家居集团有限公司破产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清算</w:t>
      </w:r>
      <w:r>
        <w:rPr>
          <w:rFonts w:hint="eastAsia" w:ascii="仿宋" w:hAnsi="仿宋" w:eastAsia="仿宋" w:cs="仿宋"/>
          <w:sz w:val="28"/>
          <w:szCs w:val="28"/>
        </w:rPr>
        <w:t>案件网络债权人会议的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参会人信息如下：</w:t>
      </w:r>
    </w:p>
    <w:p w14:paraId="00671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参会人姓名：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</w:p>
    <w:p w14:paraId="3452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参会人证件类型：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居民身份证</w:t>
      </w:r>
    </w:p>
    <w:p w14:paraId="5D7CF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中国公民护照</w:t>
      </w:r>
    </w:p>
    <w:p w14:paraId="54B3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台湾居民来往大陆通行证</w:t>
      </w:r>
    </w:p>
    <w:p w14:paraId="2A92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港澳居民来往大陆通行证</w:t>
      </w:r>
    </w:p>
    <w:p w14:paraId="72DC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社会统一信用代码证</w:t>
      </w:r>
    </w:p>
    <w:p w14:paraId="53C9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0" w:firstLineChars="10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香港居民身份证</w:t>
      </w:r>
    </w:p>
    <w:p w14:paraId="686B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参会人证件号码：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</w:p>
    <w:p w14:paraId="3596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参会人确认参会手机号码：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（仅限一个号码）</w:t>
      </w:r>
    </w:p>
    <w:p w14:paraId="6A2F9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授权事项：</w:t>
      </w:r>
    </w:p>
    <w:p w14:paraId="74A6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债权人授权上述手机号码接收乐宜嘉家居集团有限公司管理人及“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中山智破云</w:t>
      </w:r>
      <w:r>
        <w:rPr>
          <w:rFonts w:hint="eastAsia" w:ascii="仿宋" w:hAnsi="仿宋" w:eastAsia="仿宋" w:cs="仿宋"/>
          <w:sz w:val="28"/>
          <w:szCs w:val="28"/>
        </w:rPr>
        <w:t>”平台的关于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案件的相关通知，参与网络债权人会议，授权上述手机号码可观看债权人会议直播视频，并可以下载、查阅会议相关文档，并有权进行投票表决等操作。对于该手机号码进行网络债权人会议的相关操作的结果，债权人均予以确认并承担相应法律责任。</w:t>
      </w:r>
    </w:p>
    <w:p w14:paraId="0AEB2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授权期限：</w:t>
      </w:r>
    </w:p>
    <w:p w14:paraId="2BB3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自签字之日起至乐宜嘉家居集团有限公司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案件终结之日止。</w:t>
      </w:r>
    </w:p>
    <w:p w14:paraId="587C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特此授权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4AB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授权人：</w:t>
      </w:r>
    </w:p>
    <w:p w14:paraId="39BA9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日期：    年   月  日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</w:p>
    <w:p w14:paraId="61721CBF">
      <w:pPr>
        <w:adjustRightInd w:val="0"/>
        <w:snapToGrid w:val="0"/>
        <w:spacing w:line="576" w:lineRule="exact"/>
        <w:jc w:val="center"/>
        <w:textAlignment w:val="center"/>
        <w:outlineLvl w:val="0"/>
        <w:rPr>
          <w:rFonts w:hint="eastAsia" w:ascii="仿宋" w:hAnsi="仿宋" w:eastAsia="仿宋" w:cs="仿宋"/>
          <w:sz w:val="42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法定代表人/负责人身份证明书</w:t>
      </w:r>
    </w:p>
    <w:p w14:paraId="689ADDB1">
      <w:pPr>
        <w:adjustRightInd w:val="0"/>
        <w:snapToGrid w:val="0"/>
        <w:spacing w:line="576" w:lineRule="exact"/>
        <w:jc w:val="center"/>
        <w:textAlignment w:val="center"/>
        <w:outlineLvl w:val="0"/>
        <w:rPr>
          <w:rFonts w:hint="eastAsia" w:ascii="仿宋" w:hAnsi="仿宋" w:eastAsia="仿宋" w:cs="仿宋"/>
          <w:sz w:val="42"/>
          <w:szCs w:val="28"/>
        </w:rPr>
      </w:pPr>
    </w:p>
    <w:p w14:paraId="4DF71CF2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兹证明</w:t>
      </w:r>
      <w:r>
        <w:rPr>
          <w:rFonts w:hint="eastAsia" w:ascii="仿宋" w:hAnsi="仿宋" w:eastAsia="仿宋" w:cs="仿宋"/>
          <w:sz w:val="32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28"/>
        </w:rPr>
        <w:t>为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28"/>
        </w:rPr>
        <w:t>单位法定代表人/负责人。</w:t>
      </w:r>
    </w:p>
    <w:p w14:paraId="500E47AB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特此证明。</w:t>
      </w:r>
    </w:p>
    <w:p w14:paraId="0556DF1F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75BDB82C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52536328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1A6DF75C">
      <w:pPr>
        <w:adjustRightInd w:val="0"/>
        <w:snapToGrid w:val="0"/>
        <w:spacing w:line="576" w:lineRule="exact"/>
        <w:ind w:firstLine="3200" w:firstLineChars="10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证明人（盖章）：</w:t>
      </w:r>
    </w:p>
    <w:p w14:paraId="62B99EF8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                             年   月   日</w:t>
      </w:r>
    </w:p>
    <w:p w14:paraId="7BE62F0E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6BC4DBB3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49E8F8AA">
      <w:pPr>
        <w:adjustRightInd w:val="0"/>
        <w:snapToGrid w:val="0"/>
        <w:spacing w:line="576" w:lineRule="exact"/>
        <w:ind w:firstLine="640" w:firstLineChars="200"/>
        <w:textAlignment w:val="center"/>
        <w:rPr>
          <w:rFonts w:hint="eastAsia" w:ascii="仿宋" w:hAnsi="仿宋" w:eastAsia="仿宋" w:cs="仿宋"/>
          <w:sz w:val="32"/>
          <w:szCs w:val="28"/>
        </w:rPr>
      </w:pPr>
    </w:p>
    <w:p w14:paraId="4C36ADC5"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附：法定代表人/负责人</w:t>
      </w:r>
      <w:r>
        <w:rPr>
          <w:rFonts w:hint="eastAsia" w:ascii="仿宋" w:hAnsi="仿宋" w:eastAsia="仿宋" w:cs="仿宋"/>
          <w:sz w:val="24"/>
          <w:lang w:eastAsia="zh-CN"/>
        </w:rPr>
        <w:t>中华人民共和国居民身份证</w:t>
      </w:r>
      <w:r>
        <w:rPr>
          <w:rFonts w:hint="eastAsia" w:ascii="仿宋" w:hAnsi="仿宋" w:eastAsia="仿宋" w:cs="仿宋"/>
          <w:sz w:val="24"/>
        </w:rPr>
        <w:t>复印件。</w:t>
      </w:r>
    </w:p>
    <w:p w14:paraId="5FF5F21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 w14:paraId="1317041C">
      <w:pPr>
        <w:spacing w:line="240" w:lineRule="atLeas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授权委托书</w:t>
      </w:r>
    </w:p>
    <w:p w14:paraId="2559EF09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（个人用）</w:t>
      </w:r>
    </w:p>
    <w:p w14:paraId="7139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委托人：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</w:p>
    <w:p w14:paraId="14DB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27F4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718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3A0E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</w:t>
      </w:r>
    </w:p>
    <w:p w14:paraId="7F81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150C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7B68F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8E54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现委托上列代理人代表本人/本单位参加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乐宜嘉家居集团有限公司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破产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案件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（包括破产重整、和解、清算）程序。委托代理人的代理权限为特别授权（即参加整个破产程序），包括但不限于：</w:t>
      </w:r>
    </w:p>
    <w:p w14:paraId="04CFE9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1.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申报债权，与管理人核对债权（代为承认、变更、放弃债权）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回答管理人的询问，对债权审核结果提出异议或确认；</w:t>
      </w:r>
    </w:p>
    <w:p w14:paraId="367DB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2.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出具承诺和说明，签收管理人或法院出具的相关法律文书；</w:t>
      </w:r>
    </w:p>
    <w:p w14:paraId="3E489F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3.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出席债权人会议并就会议事项行使异议权和表决权；</w:t>
      </w:r>
    </w:p>
    <w:p w14:paraId="5CE4E6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4.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代为办理受领破产财产分配额相关手续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；</w:t>
      </w:r>
    </w:p>
    <w:p w14:paraId="166A9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5.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破产法赋予债权人的其他相关权利。</w:t>
      </w:r>
    </w:p>
    <w:p w14:paraId="0D6280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default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US" w:eastAsia="zh-CN"/>
        </w:rPr>
        <w:t>6.</w:t>
      </w:r>
      <w:r>
        <w:rPr>
          <w:rFonts w:hint="eastAsia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  <w:t xml:space="preserve">                                                      </w:t>
      </w:r>
    </w:p>
    <w:p w14:paraId="2D1A1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代理期限自本授权书签发之日起至法院裁定破产程序终结之日止。</w:t>
      </w:r>
    </w:p>
    <w:p w14:paraId="1F28F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特此授权。</w:t>
      </w:r>
    </w:p>
    <w:p w14:paraId="0228F65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default" w:ascii="仿宋" w:hAnsi="仿宋" w:eastAsia="仿宋" w:cs="仿宋"/>
          <w:ker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委托人（签字纳指印/盖章）：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/>
        </w:rPr>
        <w:t xml:space="preserve">                   </w:t>
      </w:r>
    </w:p>
    <w:p w14:paraId="6CE5B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                                              年    月    日</w:t>
      </w:r>
    </w:p>
    <w:p w14:paraId="1B14A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GB"/>
        </w:rPr>
        <w:t>注：</w:t>
      </w:r>
    </w:p>
    <w:p w14:paraId="69BE60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委托代理人的，应一并提交本委托书原件及代理人身份证复印件各一份；</w:t>
      </w:r>
    </w:p>
    <w:p w14:paraId="42273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代理人为律师的，应一并提交律师事务所公函原件及律师证复印件各一份。</w:t>
      </w:r>
    </w:p>
    <w:p w14:paraId="34D37C2C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B77F4AD">
      <w:pPr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7816ABF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授权委托书</w:t>
      </w:r>
    </w:p>
    <w:p w14:paraId="4FAEDDB2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（企业用）</w:t>
      </w:r>
    </w:p>
    <w:p w14:paraId="44C34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6963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法定代表人（负责人）：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461AC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D0AE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受托人：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3170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</w:t>
      </w:r>
    </w:p>
    <w:p w14:paraId="37751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705C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 w14:paraId="54EB7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</w:p>
    <w:p w14:paraId="4E775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现委托上列代理人代表本人/本单位参加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乐宜嘉家居集团有限公司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破产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案件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（包括破产重整、和解、清算）程序。委托代理人的代理权限为特别授权（即参加整个破产程序），包括但不限于：</w:t>
      </w:r>
    </w:p>
    <w:p w14:paraId="42F55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1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申报债权，与管理人核对债权（代为承认、变更、放弃债权）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回答管理人的询问，对债权审核结果提出异议或确认；</w:t>
      </w:r>
    </w:p>
    <w:p w14:paraId="4464A8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出具承诺和说明，签收管理人或法院出具的相关法律文书；</w:t>
      </w:r>
    </w:p>
    <w:p w14:paraId="3F6068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3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出席债权人会议并就会议事项行使异议权和表决权；</w:t>
      </w:r>
    </w:p>
    <w:p w14:paraId="2D6695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4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代为办理受领破产财产分配额相关手续</w:t>
      </w:r>
      <w:r>
        <w:rPr>
          <w:rFonts w:hint="eastAsia" w:ascii="仿宋" w:hAnsi="仿宋" w:eastAsia="仿宋" w:cs="仿宋"/>
          <w:kern w:val="0"/>
          <w:sz w:val="24"/>
          <w:szCs w:val="20"/>
          <w:lang w:val="en-GB" w:eastAsia="zh-CN"/>
        </w:rPr>
        <w:t>；</w:t>
      </w:r>
    </w:p>
    <w:p w14:paraId="4AB46E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Times New Roman"/>
          <w:kern w:val="0"/>
          <w:sz w:val="24"/>
          <w:szCs w:val="20"/>
          <w:lang w:val="en-US" w:eastAsia="zh-CN" w:bidi="ar-SA"/>
        </w:rPr>
        <w:t>5</w:t>
      </w:r>
      <w:r>
        <w:rPr>
          <w:rFonts w:hint="eastAsia" w:ascii="仿宋" w:hAnsi="仿宋" w:eastAsia="仿宋" w:cs="Times New Roman"/>
          <w:kern w:val="0"/>
          <w:sz w:val="24"/>
          <w:szCs w:val="20"/>
          <w:lang w:val="en-GB" w:eastAsia="zh-CN" w:bidi="ar-SA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破产法赋予债权人的其他相关权利。</w:t>
      </w:r>
    </w:p>
    <w:p w14:paraId="24E72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default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US" w:eastAsia="zh-CN"/>
        </w:rPr>
        <w:t>6.</w:t>
      </w:r>
      <w:r>
        <w:rPr>
          <w:rFonts w:hint="eastAsia" w:ascii="仿宋" w:hAnsi="仿宋" w:eastAsia="仿宋" w:cs="仿宋"/>
          <w:bCs/>
          <w:kern w:val="0"/>
          <w:sz w:val="24"/>
          <w:szCs w:val="20"/>
          <w:u w:val="single"/>
          <w:lang w:val="en-US" w:eastAsia="zh-CN"/>
        </w:rPr>
        <w:t xml:space="preserve">                                                      </w:t>
      </w:r>
    </w:p>
    <w:p w14:paraId="6AC84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70" w:firstLineChars="196"/>
        <w:jc w:val="left"/>
        <w:textAlignment w:val="auto"/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bCs/>
          <w:kern w:val="0"/>
          <w:sz w:val="24"/>
          <w:szCs w:val="20"/>
          <w:lang w:val="en-GB"/>
        </w:rPr>
        <w:t>代理期限自本授权书签发之日起至法院裁定破产程序终结之日止。</w:t>
      </w:r>
    </w:p>
    <w:p w14:paraId="5E76C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特此授权。</w:t>
      </w:r>
    </w:p>
    <w:p w14:paraId="63D8F61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default" w:ascii="仿宋" w:hAnsi="仿宋" w:eastAsia="仿宋" w:cs="仿宋"/>
          <w:ker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委托人（签字纳指印/盖章）：</w:t>
      </w:r>
      <w:r>
        <w:rPr>
          <w:rFonts w:hint="eastAsia" w:ascii="仿宋" w:hAnsi="仿宋" w:eastAsia="仿宋" w:cs="仿宋"/>
          <w:kern w:val="0"/>
          <w:sz w:val="24"/>
          <w:szCs w:val="20"/>
          <w:lang w:val="en-US" w:eastAsia="zh-CN"/>
        </w:rPr>
        <w:t xml:space="preserve">                   </w:t>
      </w:r>
    </w:p>
    <w:p w14:paraId="7D512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 xml:space="preserve">                                                  年    月    日</w:t>
      </w:r>
    </w:p>
    <w:p w14:paraId="0C3E7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GB"/>
        </w:rPr>
        <w:t>注：</w:t>
      </w:r>
    </w:p>
    <w:p w14:paraId="55104B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委托代理人的，应一并提交本委托书原件及代理人身份证复印件各一份；</w:t>
      </w:r>
    </w:p>
    <w:p w14:paraId="2F22F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0"/>
          <w:lang w:val="en-GB"/>
        </w:rPr>
      </w:pPr>
      <w:r>
        <w:rPr>
          <w:rFonts w:hint="eastAsia" w:ascii="仿宋" w:hAnsi="仿宋" w:eastAsia="仿宋" w:cs="仿宋"/>
          <w:kern w:val="0"/>
          <w:sz w:val="24"/>
          <w:szCs w:val="20"/>
          <w:lang w:val="en-GB"/>
        </w:rPr>
        <w:t>代理人为律师的，应一并提交律师事务所公函原件及律师证复印件各一份。</w:t>
      </w:r>
    </w:p>
    <w:p w14:paraId="2D509375">
      <w:pPr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br w:type="page"/>
      </w:r>
    </w:p>
    <w:p w14:paraId="3EF31F94">
      <w:pPr>
        <w:spacing w:after="156" w:afterLines="50" w:line="460" w:lineRule="exact"/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  <w:lang w:val="en-US" w:eastAsia="zh-CN"/>
        </w:rPr>
        <w:t>诚信申报</w:t>
      </w:r>
      <w:r>
        <w:rPr>
          <w:rFonts w:hint="eastAsia" w:ascii="仿宋" w:hAnsi="仿宋" w:eastAsia="仿宋" w:cs="仿宋"/>
          <w:b/>
          <w:sz w:val="32"/>
          <w:szCs w:val="28"/>
        </w:rPr>
        <w:t>承诺函</w:t>
      </w:r>
    </w:p>
    <w:p w14:paraId="60823276">
      <w:pPr>
        <w:spacing w:after="156" w:afterLines="50" w:line="460" w:lineRule="exact"/>
        <w:rPr>
          <w:rFonts w:hint="eastAsia" w:ascii="仿宋" w:hAnsi="仿宋" w:eastAsia="仿宋" w:cs="仿宋"/>
          <w:sz w:val="24"/>
          <w:szCs w:val="28"/>
        </w:rPr>
      </w:pPr>
    </w:p>
    <w:p w14:paraId="74935CCA">
      <w:pPr>
        <w:spacing w:after="156" w:afterLines="50" w:line="4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乐宜嘉家居集团有限公司</w:t>
      </w:r>
      <w:r>
        <w:rPr>
          <w:rFonts w:hint="eastAsia" w:ascii="仿宋" w:hAnsi="仿宋" w:eastAsia="仿宋" w:cs="仿宋"/>
          <w:b/>
          <w:sz w:val="28"/>
          <w:szCs w:val="28"/>
        </w:rPr>
        <w:t>管理人：</w:t>
      </w:r>
    </w:p>
    <w:p w14:paraId="27D7A4A5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获悉乐宜嘉家居集团有限公司经法院裁定受理破产申请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后，依法向管理人申报债权，并在此承诺如下：</w:t>
      </w:r>
    </w:p>
    <w:p w14:paraId="16A5EB07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一、我方申报的债权所依据的法律文书、其他相关材料和所述之事实均为真实有效。如提供伪造、变造等虚假证据及相关材料，以及对重要事实拒绝陈述或作虚假陈述的，将承担相应的法律责任。</w:t>
      </w:r>
    </w:p>
    <w:p w14:paraId="1C678288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二、就我方向管理人所申报之债权，在债务人及其他连带债务人处所获清偿情况如下： </w:t>
      </w:r>
    </w:p>
    <w:p w14:paraId="5887C3E5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◆未获清偿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　　　  </w:t>
      </w:r>
      <w:r>
        <w:rPr>
          <w:rFonts w:hint="eastAsia" w:ascii="仿宋" w:hAnsi="仿宋" w:eastAsia="仿宋" w:cs="仿宋"/>
          <w:sz w:val="28"/>
          <w:szCs w:val="28"/>
        </w:rPr>
        <w:t xml:space="preserve">  ◆已获清偿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　　　       </w:t>
      </w:r>
    </w:p>
    <w:p w14:paraId="6E793308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（注：若勾选“已获清偿”，则请于下文处填写所获清偿之金额以及清偿人之名称）</w:t>
      </w:r>
    </w:p>
    <w:p w14:paraId="6A13C903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2"/>
          <w:u w:val="single"/>
        </w:rPr>
      </w:pPr>
      <w:r>
        <w:rPr>
          <w:rFonts w:hint="eastAsia" w:ascii="仿宋" w:hAnsi="仿宋" w:eastAsia="仿宋" w:cs="仿宋"/>
          <w:sz w:val="28"/>
          <w:szCs w:val="22"/>
        </w:rPr>
        <w:t>获得清偿金额：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           </w:t>
      </w:r>
    </w:p>
    <w:p w14:paraId="4FE5F4D4">
      <w:pPr>
        <w:spacing w:after="156" w:afterLines="50" w:line="460" w:lineRule="exact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</w:rPr>
        <w:t>清偿人名称：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2"/>
          <w:u w:val="single"/>
        </w:rPr>
        <w:t xml:space="preserve">   </w:t>
      </w:r>
    </w:p>
    <w:p w14:paraId="2DCA6C3A">
      <w:pPr>
        <w:spacing w:before="156" w:beforeLines="50" w:after="156" w:afterLines="50"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三、若我方所述之事实与管理人审查结果不一致的，则我方愿承担就此产生的不利法律后果。</w:t>
      </w:r>
    </w:p>
    <w:p w14:paraId="0F6CD065">
      <w:pPr>
        <w:widowControl w:val="0"/>
        <w:spacing w:before="156" w:beforeLines="50" w:after="156" w:afterLines="50" w:line="460" w:lineRule="exact"/>
        <w:ind w:left="560" w:firstLine="0" w:firstLineChars="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特此承诺。</w:t>
      </w:r>
    </w:p>
    <w:p w14:paraId="72082D30">
      <w:pPr>
        <w:widowControl w:val="0"/>
        <w:spacing w:before="156" w:beforeLines="50" w:after="156" w:afterLines="50" w:line="460" w:lineRule="exact"/>
        <w:ind w:left="560" w:firstLine="2800" w:firstLineChars="10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公司签章/个人签名：</w:t>
      </w:r>
    </w:p>
    <w:p w14:paraId="52FBE056">
      <w:pPr>
        <w:jc w:val="right"/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              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E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EC6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EC6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A999">
    <w:pPr>
      <w:widowControl w:val="0"/>
      <w:pBdr>
        <w:bottom w:val="double" w:color="auto" w:sz="8" w:space="1"/>
      </w:pBdr>
      <w:tabs>
        <w:tab w:val="center" w:pos="4153"/>
        <w:tab w:val="right" w:pos="8306"/>
      </w:tabs>
      <w:snapToGrid w:val="0"/>
      <w:jc w:val="distribute"/>
      <w:rPr>
        <w:rFonts w:hint="default" w:ascii="黑体" w:hAnsi="黑体" w:eastAsia="黑体" w:cs="黑体"/>
        <w:kern w:val="2"/>
        <w:sz w:val="18"/>
        <w:szCs w:val="18"/>
        <w:lang w:val="en-US" w:eastAsia="zh-CN" w:bidi="ar-SA"/>
      </w:rPr>
    </w:pPr>
    <w:r>
      <w:rPr>
        <w:rFonts w:hint="eastAsia" w:ascii="黑体" w:hAnsi="黑体" w:eastAsia="黑体" w:cs="黑体"/>
        <w:kern w:val="2"/>
        <w:sz w:val="18"/>
        <w:szCs w:val="18"/>
        <w:lang w:val="en-US" w:eastAsia="zh-CN" w:bidi="ar-SA"/>
      </w:rPr>
      <w:t>乐宜嘉家居集团有限公司破产清算案</w:t>
    </w:r>
  </w:p>
  <w:p w14:paraId="5B044A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01F36"/>
    <w:rsid w:val="03001F36"/>
    <w:rsid w:val="1B153A01"/>
    <w:rsid w:val="22074705"/>
    <w:rsid w:val="30B64872"/>
    <w:rsid w:val="32854830"/>
    <w:rsid w:val="4948541D"/>
    <w:rsid w:val="649E3E7C"/>
    <w:rsid w:val="6C0079BC"/>
    <w:rsid w:val="799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1463</Words>
  <Characters>1489</Characters>
  <Lines>0</Lines>
  <Paragraphs>0</Paragraphs>
  <TotalTime>1</TotalTime>
  <ScaleCrop>false</ScaleCrop>
  <LinksUpToDate>false</LinksUpToDate>
  <CharactersWithSpaces>2073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2026-04-17T05:19:00Z</dcterms:created>
  <dc:creator>千里行丨梁律师</dc:creator>
  <cp:lastModifiedBy>天然的慢</cp:lastModifiedBy>
  <dcterms:modified xsi:type="dcterms:W3CDTF">2026-04-17T08:20:29Z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A9B5938F999B47CEA013C10281716C1D_11</vt:lpwstr>
  </property>
  <property fmtid="{D5CDD505-2E9C-101B-9397-08002B2CF9AE}" pid="4" name="KSOTemplateDocerSaveRecord">
    <vt:lpwstr>eyJoZGlkIjoiM2VhNGY5YWMwNjJjYzhiODc0MjU5MDI0ZWYzMWI0ZGIiLCJ1c2VySWQiOiI5MzMzNjk2ODYifQ==</vt:lpwstr>
  </property>
</Properties>
</file>