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07AC">
      <w:pPr>
        <w:spacing w:line="400" w:lineRule="exact"/>
        <w:jc w:val="center"/>
        <w:rPr>
          <w:rFonts w:ascii="仿宋" w:hAnsi="仿宋" w:eastAsia="仿宋" w:cs="仿宋"/>
          <w:b/>
          <w:bCs/>
          <w:sz w:val="28"/>
          <w:szCs w:val="28"/>
        </w:rPr>
      </w:pPr>
      <w:bookmarkStart w:id="0" w:name="_Toc215935973"/>
      <w:r>
        <w:rPr>
          <w:rFonts w:hint="eastAsia" w:ascii="仿宋" w:hAnsi="仿宋" w:eastAsia="仿宋" w:cs="仿宋"/>
          <w:b/>
          <w:bCs/>
          <w:sz w:val="28"/>
          <w:szCs w:val="28"/>
          <w:lang w:eastAsia="zh-CN"/>
        </w:rPr>
        <w:t>武汉市海伦建筑装饰材料有限责任公司</w:t>
      </w:r>
      <w:r>
        <w:rPr>
          <w:rFonts w:hint="eastAsia" w:ascii="仿宋" w:hAnsi="仿宋" w:eastAsia="仿宋" w:cs="仿宋"/>
          <w:b/>
          <w:bCs/>
          <w:sz w:val="28"/>
          <w:szCs w:val="28"/>
        </w:rPr>
        <w:t>强制清算案</w:t>
      </w:r>
    </w:p>
    <w:p w14:paraId="6A5CCB4C">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债权申报须知</w:t>
      </w:r>
    </w:p>
    <w:p w14:paraId="4756E4AF">
      <w:pPr>
        <w:spacing w:line="400" w:lineRule="exact"/>
        <w:jc w:val="center"/>
        <w:rPr>
          <w:rFonts w:ascii="仿宋" w:hAnsi="仿宋" w:eastAsia="仿宋" w:cs="仿宋"/>
          <w:b/>
          <w:sz w:val="24"/>
        </w:rPr>
      </w:pPr>
    </w:p>
    <w:p w14:paraId="0A1BD719">
      <w:pPr>
        <w:spacing w:line="400" w:lineRule="exact"/>
        <w:ind w:firstLine="480"/>
        <w:rPr>
          <w:rFonts w:hint="eastAsia" w:ascii="仿宋" w:hAnsi="仿宋" w:eastAsia="仿宋" w:cs="仿宋"/>
          <w:sz w:val="24"/>
        </w:rPr>
      </w:pPr>
      <w:r>
        <w:rPr>
          <w:rFonts w:hint="eastAsia" w:ascii="仿宋" w:hAnsi="仿宋" w:eastAsia="仿宋" w:cs="仿宋"/>
          <w:sz w:val="24"/>
        </w:rPr>
        <w:t>武汉市</w:t>
      </w:r>
      <w:r>
        <w:rPr>
          <w:rFonts w:hint="eastAsia" w:ascii="仿宋" w:hAnsi="仿宋" w:eastAsia="仿宋" w:cs="仿宋"/>
          <w:sz w:val="24"/>
          <w:lang w:eastAsia="zh-CN"/>
        </w:rPr>
        <w:t>武昌区</w:t>
      </w:r>
      <w:r>
        <w:rPr>
          <w:rFonts w:hint="eastAsia" w:ascii="仿宋" w:hAnsi="仿宋" w:eastAsia="仿宋" w:cs="仿宋"/>
          <w:sz w:val="24"/>
        </w:rPr>
        <w:t>人民法院于2026年3月26日作出（2026）鄂0106清申1号民事裁定书，裁定受理王玲对</w:t>
      </w:r>
      <w:r>
        <w:rPr>
          <w:rFonts w:hint="eastAsia" w:ascii="仿宋" w:hAnsi="仿宋" w:eastAsia="仿宋" w:cs="仿宋"/>
          <w:sz w:val="24"/>
          <w:lang w:eastAsia="zh-CN"/>
        </w:rPr>
        <w:t>武汉市海伦建筑装饰材料有限责任公司</w:t>
      </w:r>
      <w:r>
        <w:rPr>
          <w:rFonts w:hint="eastAsia" w:ascii="仿宋" w:hAnsi="仿宋" w:eastAsia="仿宋" w:cs="仿宋"/>
          <w:sz w:val="24"/>
        </w:rPr>
        <w:t>（下称“</w:t>
      </w:r>
      <w:r>
        <w:rPr>
          <w:rFonts w:hint="eastAsia" w:ascii="仿宋" w:hAnsi="仿宋" w:eastAsia="仿宋" w:cs="仿宋"/>
          <w:sz w:val="24"/>
          <w:lang w:eastAsia="zh-CN"/>
        </w:rPr>
        <w:t>海伦建筑装饰公司</w:t>
      </w:r>
      <w:r>
        <w:rPr>
          <w:rFonts w:hint="eastAsia" w:ascii="仿宋" w:hAnsi="仿宋" w:eastAsia="仿宋" w:cs="仿宋"/>
          <w:sz w:val="24"/>
        </w:rPr>
        <w:t>”）的强制清算申请，并于202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日指定湖北黄鹤律师事务所担任</w:t>
      </w:r>
      <w:r>
        <w:rPr>
          <w:rFonts w:hint="eastAsia" w:ascii="仿宋" w:hAnsi="仿宋" w:eastAsia="仿宋" w:cs="仿宋"/>
          <w:sz w:val="24"/>
          <w:lang w:eastAsia="zh-CN"/>
        </w:rPr>
        <w:t>武汉市海伦建筑装饰材料有限责任公司</w:t>
      </w:r>
      <w:r>
        <w:rPr>
          <w:rFonts w:hint="eastAsia" w:ascii="仿宋" w:hAnsi="仿宋" w:eastAsia="仿宋" w:cs="仿宋"/>
          <w:sz w:val="24"/>
        </w:rPr>
        <w:t>的清算组，负责人为胡志雄，依法对</w:t>
      </w:r>
      <w:r>
        <w:rPr>
          <w:rFonts w:hint="eastAsia" w:ascii="仿宋" w:hAnsi="仿宋" w:eastAsia="仿宋" w:cs="仿宋"/>
          <w:sz w:val="24"/>
          <w:lang w:eastAsia="zh-CN"/>
        </w:rPr>
        <w:t>海伦建筑装饰公司</w:t>
      </w:r>
      <w:r>
        <w:rPr>
          <w:rFonts w:hint="eastAsia" w:ascii="仿宋" w:hAnsi="仿宋" w:eastAsia="仿宋" w:cs="仿宋"/>
          <w:sz w:val="24"/>
        </w:rPr>
        <w:t>进行强制清算。</w:t>
      </w:r>
    </w:p>
    <w:p w14:paraId="6422CD36">
      <w:pPr>
        <w:spacing w:line="400" w:lineRule="exact"/>
        <w:ind w:firstLine="480"/>
        <w:rPr>
          <w:rFonts w:ascii="仿宋" w:hAnsi="仿宋" w:eastAsia="仿宋" w:cs="仿宋"/>
          <w:sz w:val="24"/>
        </w:rPr>
      </w:pPr>
      <w:r>
        <w:rPr>
          <w:rFonts w:hint="eastAsia" w:ascii="仿宋" w:hAnsi="仿宋" w:eastAsia="仿宋" w:cs="仿宋"/>
          <w:sz w:val="24"/>
        </w:rPr>
        <w:t>为明确债权人及利害关系人在债权申报阶段之权利义务及法律后果，特作本须知:</w:t>
      </w:r>
    </w:p>
    <w:p w14:paraId="1604CB8D">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一、债权申报主体</w:t>
      </w:r>
    </w:p>
    <w:p w14:paraId="338FCC77">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（一）认为其在</w:t>
      </w:r>
      <w:r>
        <w:rPr>
          <w:rFonts w:hint="eastAsia" w:ascii="仿宋" w:hAnsi="仿宋" w:eastAsia="仿宋" w:cs="仿宋"/>
          <w:sz w:val="24"/>
          <w:lang w:val="en-US" w:eastAsia="zh-CN"/>
        </w:rPr>
        <w:t>武汉市武昌区</w:t>
      </w:r>
      <w:r>
        <w:rPr>
          <w:rFonts w:hint="eastAsia" w:ascii="仿宋" w:hAnsi="仿宋" w:eastAsia="仿宋" w:cs="仿宋"/>
          <w:sz w:val="24"/>
        </w:rPr>
        <w:t>人民法院（下称“人民法院”）受理</w:t>
      </w:r>
      <w:r>
        <w:rPr>
          <w:rFonts w:hint="eastAsia" w:ascii="仿宋" w:hAnsi="仿宋" w:eastAsia="仿宋" w:cs="仿宋"/>
          <w:sz w:val="24"/>
          <w:lang w:eastAsia="zh-CN"/>
        </w:rPr>
        <w:t>武汉市海伦建筑装饰材料有限责任公司</w:t>
      </w:r>
      <w:r>
        <w:rPr>
          <w:rFonts w:hint="eastAsia" w:ascii="仿宋" w:hAnsi="仿宋" w:eastAsia="仿宋" w:cs="仿宋"/>
          <w:sz w:val="24"/>
        </w:rPr>
        <w:t>（下称“债务人”）强制清算时对债务人享有到期或未到期债权的自然人、法人或其他组织，均可申报债权。</w:t>
      </w:r>
    </w:p>
    <w:p w14:paraId="3F77011A">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（二）债权人为法人或其他组织的债权统称为“机构债权”；债权人为个人的债权统称为“个人债权”。</w:t>
      </w:r>
    </w:p>
    <w:p w14:paraId="2532435B">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二、债权登记机构</w:t>
      </w:r>
    </w:p>
    <w:p w14:paraId="1FAA55F0">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 xml:space="preserve">根据《中华人民共和国公司法》等相关法律之规定，债权人应向人民法院指定的债务人强制清算清算组（下称“清算组”）申报债权。 </w:t>
      </w:r>
    </w:p>
    <w:p w14:paraId="60F1F9D9">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三、登记受理时间</w:t>
      </w:r>
    </w:p>
    <w:p w14:paraId="447E488A">
      <w:pPr>
        <w:spacing w:line="400" w:lineRule="exact"/>
        <w:ind w:firstLine="482" w:firstLineChars="200"/>
        <w:contextualSpacing/>
        <w:rPr>
          <w:rFonts w:ascii="仿宋" w:hAnsi="仿宋" w:eastAsia="仿宋" w:cs="仿宋"/>
          <w:b/>
          <w:bCs/>
          <w:sz w:val="24"/>
          <w:u w:val="single"/>
        </w:rPr>
      </w:pPr>
      <w:r>
        <w:rPr>
          <w:rFonts w:hint="eastAsia" w:ascii="仿宋" w:hAnsi="仿宋" w:eastAsia="仿宋" w:cs="仿宋"/>
          <w:b/>
          <w:bCs/>
          <w:color w:val="auto"/>
          <w:sz w:val="24"/>
          <w:u w:val="single"/>
        </w:rPr>
        <w:t>债权申报登记期限截至202</w:t>
      </w:r>
      <w:r>
        <w:rPr>
          <w:rFonts w:hint="eastAsia" w:ascii="仿宋" w:hAnsi="仿宋" w:eastAsia="仿宋" w:cs="仿宋"/>
          <w:b/>
          <w:bCs/>
          <w:color w:val="auto"/>
          <w:sz w:val="24"/>
          <w:u w:val="single"/>
          <w:lang w:val="en-US" w:eastAsia="zh-CN"/>
        </w:rPr>
        <w:t>6</w:t>
      </w:r>
      <w:r>
        <w:rPr>
          <w:rFonts w:hint="eastAsia" w:ascii="仿宋" w:hAnsi="仿宋" w:eastAsia="仿宋" w:cs="仿宋"/>
          <w:b/>
          <w:bCs/>
          <w:color w:val="auto"/>
          <w:sz w:val="24"/>
          <w:u w:val="single"/>
        </w:rPr>
        <w:t>年</w:t>
      </w:r>
      <w:r>
        <w:rPr>
          <w:rFonts w:hint="eastAsia" w:ascii="仿宋" w:hAnsi="仿宋" w:eastAsia="仿宋" w:cs="仿宋"/>
          <w:b/>
          <w:bCs/>
          <w:color w:val="auto"/>
          <w:sz w:val="24"/>
          <w:u w:val="single"/>
          <w:lang w:val="en-US" w:eastAsia="zh-CN"/>
        </w:rPr>
        <w:t>5</w:t>
      </w:r>
      <w:r>
        <w:rPr>
          <w:rFonts w:hint="eastAsia" w:ascii="仿宋" w:hAnsi="仿宋" w:eastAsia="仿宋" w:cs="仿宋"/>
          <w:b/>
          <w:bCs/>
          <w:color w:val="auto"/>
          <w:sz w:val="24"/>
          <w:u w:val="single"/>
        </w:rPr>
        <w:t>月</w:t>
      </w:r>
      <w:r>
        <w:rPr>
          <w:rFonts w:hint="eastAsia" w:ascii="仿宋" w:hAnsi="仿宋" w:eastAsia="仿宋" w:cs="仿宋"/>
          <w:b/>
          <w:bCs/>
          <w:color w:val="auto"/>
          <w:sz w:val="24"/>
          <w:u w:val="single"/>
          <w:lang w:val="en-US" w:eastAsia="zh-CN"/>
        </w:rPr>
        <w:t>31</w:t>
      </w:r>
      <w:bookmarkStart w:id="1" w:name="_GoBack"/>
      <w:bookmarkEnd w:id="1"/>
      <w:r>
        <w:rPr>
          <w:rFonts w:hint="eastAsia" w:ascii="仿宋" w:hAnsi="仿宋" w:eastAsia="仿宋" w:cs="仿宋"/>
          <w:b/>
          <w:bCs/>
          <w:color w:val="auto"/>
          <w:sz w:val="24"/>
          <w:u w:val="single"/>
        </w:rPr>
        <w:t>日，</w:t>
      </w:r>
      <w:r>
        <w:rPr>
          <w:rFonts w:hint="eastAsia" w:ascii="仿宋" w:hAnsi="仿宋" w:eastAsia="仿宋" w:cs="仿宋"/>
          <w:b/>
          <w:bCs/>
          <w:sz w:val="24"/>
          <w:u w:val="single"/>
        </w:rPr>
        <w:t>受理时间为登记期间工作日的9:00-17:00。</w:t>
      </w:r>
    </w:p>
    <w:p w14:paraId="10F1D301">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四、申报方式</w:t>
      </w:r>
    </w:p>
    <w:p w14:paraId="4776755A">
      <w:pPr>
        <w:tabs>
          <w:tab w:val="left" w:pos="5411"/>
        </w:tabs>
        <w:spacing w:line="400" w:lineRule="exact"/>
        <w:ind w:firstLine="482" w:firstLineChars="200"/>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sz w:val="24"/>
          <w:u w:val="single"/>
        </w:rPr>
        <w:t>债权人可以现场提交申报材料或者邮寄申报材料。申报地址：湖北省武汉市武昌区中北路86号汉街总部国际C座3A层02-06室，湖北黄鹤律师事务所。联系人：</w:t>
      </w:r>
      <w:r>
        <w:rPr>
          <w:rStyle w:val="5"/>
          <w:rFonts w:hint="eastAsia" w:ascii="仿宋" w:hAnsi="仿宋" w:eastAsia="仿宋" w:cs="仿宋"/>
          <w:b/>
          <w:bCs/>
          <w:color w:val="auto"/>
          <w:sz w:val="24"/>
          <w:u w:val="single"/>
        </w:rPr>
        <w:t>叶律师 18672964269</w:t>
      </w:r>
      <w:r>
        <w:rPr>
          <w:rStyle w:val="5"/>
          <w:rFonts w:hint="eastAsia" w:ascii="仿宋" w:hAnsi="仿宋" w:eastAsia="仿宋" w:cs="仿宋"/>
          <w:b/>
          <w:bCs/>
          <w:color w:val="auto"/>
          <w:sz w:val="24"/>
          <w:u w:val="single"/>
          <w:lang w:eastAsia="zh-CN"/>
        </w:rPr>
        <w:t>；</w:t>
      </w:r>
      <w:r>
        <w:rPr>
          <w:rStyle w:val="5"/>
          <w:rFonts w:hint="eastAsia" w:ascii="仿宋" w:hAnsi="仿宋" w:eastAsia="仿宋" w:cs="仿宋"/>
          <w:b/>
          <w:bCs/>
          <w:color w:val="auto"/>
          <w:sz w:val="24"/>
          <w:u w:val="single"/>
        </w:rPr>
        <w:t>胡律师 13657247791</w:t>
      </w:r>
      <w:r>
        <w:rPr>
          <w:rFonts w:hint="eastAsia" w:ascii="仿宋" w:hAnsi="仿宋" w:eastAsia="仿宋" w:cs="仿宋"/>
          <w:b/>
          <w:bCs/>
          <w:sz w:val="24"/>
          <w:u w:val="single"/>
        </w:rPr>
        <w:t>。</w:t>
      </w:r>
    </w:p>
    <w:p w14:paraId="36E58D2D">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五、债权申报程序及所需提交的资料</w:t>
      </w:r>
    </w:p>
    <w:p w14:paraId="3B9B9A7C">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（一）领取并填写债权申报登记表</w:t>
      </w:r>
    </w:p>
    <w:p w14:paraId="7A844CEA">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债权人可以到登记地点领取或者从http://pccz.court.gov.cn/下载《债权申报表》，并按格式要求填写（填写方法详见第六部分）。</w:t>
      </w:r>
    </w:p>
    <w:p w14:paraId="391F63C1">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（二）申报、登记</w:t>
      </w:r>
    </w:p>
    <w:p w14:paraId="4B5F2E53">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债权人申报债权时必须提交以下材料：</w:t>
      </w:r>
    </w:p>
    <w:p w14:paraId="0FC2AFCA">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1. 债权申报登记表</w:t>
      </w:r>
    </w:p>
    <w:p w14:paraId="7022AD4E">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2. 联系地址确认书</w:t>
      </w:r>
    </w:p>
    <w:p w14:paraId="012BF725">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3. 证明债权申报人主体资格的材料：</w:t>
      </w:r>
    </w:p>
    <w:p w14:paraId="7989D46B">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1）机构债权人须提交的材料：有效的企业法人营业执照复印件、事业和社团法人登记证书复印件或其他合法证明书复印件；法定代表人/负责人身份证明书原件；法定代表人或负责人个人身份证复印件；法定代表人或负责人之外的人到现场申报的，还须提交授权委托书、代理人的身份证等个人有效证件复印件。委托代理人是律师的还应提交律师事务所的指派函及律师执业证复印件。</w:t>
      </w:r>
    </w:p>
    <w:p w14:paraId="0976BB22">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（2）个人债权人须提交的材料：债权人身份证等个人有效身份证件复印件；委托他人申报的，还需提交授权委托书和代理人的身份证等个人有效证件复印件。</w:t>
      </w:r>
    </w:p>
    <w:p w14:paraId="798B42E4">
      <w:pPr>
        <w:spacing w:line="400" w:lineRule="exact"/>
        <w:contextualSpacing/>
        <w:rPr>
          <w:rFonts w:ascii="仿宋" w:hAnsi="仿宋" w:eastAsia="仿宋" w:cs="仿宋"/>
          <w:sz w:val="24"/>
        </w:rPr>
      </w:pPr>
      <w:r>
        <w:rPr>
          <w:rFonts w:hint="eastAsia" w:ascii="仿宋" w:hAnsi="仿宋" w:eastAsia="仿宋" w:cs="仿宋"/>
          <w:sz w:val="24"/>
        </w:rPr>
        <w:t xml:space="preserve">    4. 证明债权发生事实及其数额的材料：</w:t>
      </w:r>
    </w:p>
    <w:p w14:paraId="3B56A6A6">
      <w:pPr>
        <w:spacing w:line="400" w:lineRule="exact"/>
        <w:contextualSpacing/>
        <w:rPr>
          <w:rFonts w:ascii="仿宋" w:hAnsi="仿宋" w:eastAsia="仿宋" w:cs="仿宋"/>
          <w:sz w:val="24"/>
        </w:rPr>
      </w:pPr>
      <w:r>
        <w:rPr>
          <w:rFonts w:hint="eastAsia" w:ascii="仿宋" w:hAnsi="仿宋" w:eastAsia="仿宋" w:cs="仿宋"/>
          <w:sz w:val="24"/>
        </w:rPr>
        <w:t xml:space="preserve">    （1）各类合同书、发货清单、收货确认单、对账单等债权原始材料及票据、划账单等原始履行凭证原件及复印件。</w:t>
      </w:r>
    </w:p>
    <w:p w14:paraId="64CD00A9">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（2）债权如有担保的，还须提交抵押合同、质押合同、保证合同及相关的登记证件等担保原始材料原件及复印件。</w:t>
      </w:r>
    </w:p>
    <w:p w14:paraId="338D8551">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3）债权如涉及诉讼或仲裁，则须提交诉讼、仲裁有关的文件（包括已经完成或正在进行案件的民事诉状、仲裁申请书、诉讼保全申请、保全裁定，生效判决、裁定、执行申请、法院执行裁定、法院执行案件通知书等）原件及复印件。</w:t>
      </w:r>
    </w:p>
    <w:p w14:paraId="40F5027F">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（4）能够证明债权发生、变更、存续、诉讼时效中止、中断、延长及债权金额的其他原始材料原件及复印件。</w:t>
      </w:r>
    </w:p>
    <w:p w14:paraId="0D2E0720">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5. 承诺书和确认函。</w:t>
      </w:r>
    </w:p>
    <w:p w14:paraId="031B6DF8">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（三）申报材料要求</w:t>
      </w:r>
    </w:p>
    <w:p w14:paraId="4BED9413">
      <w:pPr>
        <w:spacing w:line="400" w:lineRule="exact"/>
        <w:ind w:firstLine="480" w:firstLineChars="200"/>
        <w:rPr>
          <w:rFonts w:ascii="仿宋" w:hAnsi="仿宋" w:eastAsia="仿宋" w:cs="仿宋"/>
          <w:sz w:val="24"/>
        </w:rPr>
      </w:pPr>
      <w:r>
        <w:rPr>
          <w:rFonts w:hint="eastAsia" w:ascii="仿宋" w:hAnsi="仿宋" w:eastAsia="仿宋" w:cs="仿宋"/>
          <w:sz w:val="24"/>
        </w:rPr>
        <w:t>1、申报材料一式贰份，包括证据等其他材料需要提交一式贰份，均应用A4纸张打印或复印。</w:t>
      </w:r>
    </w:p>
    <w:p w14:paraId="07BF8F7A">
      <w:pPr>
        <w:spacing w:line="400" w:lineRule="exact"/>
        <w:ind w:firstLine="480" w:firstLineChars="200"/>
        <w:rPr>
          <w:rFonts w:ascii="仿宋" w:hAnsi="仿宋" w:eastAsia="仿宋" w:cs="仿宋"/>
          <w:sz w:val="24"/>
        </w:rPr>
      </w:pPr>
      <w:r>
        <w:rPr>
          <w:rFonts w:hint="eastAsia" w:ascii="仿宋" w:hAnsi="仿宋" w:eastAsia="仿宋" w:cs="仿宋"/>
          <w:sz w:val="24"/>
        </w:rPr>
        <w:t>2、债权人在债权申报时需要提交所有资料的原件供清算组核对。</w:t>
      </w:r>
    </w:p>
    <w:p w14:paraId="4371CB9F">
      <w:pPr>
        <w:spacing w:line="400" w:lineRule="exact"/>
        <w:ind w:firstLine="480" w:firstLineChars="200"/>
        <w:rPr>
          <w:rFonts w:ascii="仿宋" w:hAnsi="仿宋" w:eastAsia="仿宋" w:cs="仿宋"/>
          <w:sz w:val="24"/>
        </w:rPr>
      </w:pPr>
      <w:r>
        <w:rPr>
          <w:rFonts w:hint="eastAsia" w:ascii="仿宋" w:hAnsi="仿宋" w:eastAsia="仿宋" w:cs="仿宋"/>
          <w:sz w:val="24"/>
        </w:rPr>
        <w:t>3、债权人为机构的，应在债权申报表每页加盖公章，证据材料为多页的，应加盖骑缝章；债权人为个人的，应在债权申报表每页签字并按手印，证据材料为多页的，每页均应按手印。</w:t>
      </w:r>
    </w:p>
    <w:p w14:paraId="0D0D49B2">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六、《债权申报登记表》填报说明</w:t>
      </w:r>
    </w:p>
    <w:p w14:paraId="6BDD0F9A">
      <w:pPr>
        <w:spacing w:line="400" w:lineRule="exact"/>
        <w:ind w:firstLine="480" w:firstLineChars="200"/>
        <w:rPr>
          <w:rFonts w:ascii="仿宋" w:hAnsi="仿宋" w:eastAsia="仿宋" w:cs="仿宋"/>
          <w:sz w:val="24"/>
        </w:rPr>
      </w:pPr>
      <w:r>
        <w:rPr>
          <w:rFonts w:hint="eastAsia" w:ascii="仿宋" w:hAnsi="仿宋" w:eastAsia="仿宋" w:cs="仿宋"/>
          <w:sz w:val="24"/>
        </w:rPr>
        <w:t>申报债权必须以书面形式提出，申报人应当如实、全面、详细填写债权申报表，以及提供完整、真实有效的申报材料。</w:t>
      </w:r>
    </w:p>
    <w:p w14:paraId="2FB7CB4F">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（一）机构债权，须加盖单位公章；个人债权，须由债权人本人或其代理人签名。</w:t>
      </w:r>
    </w:p>
    <w:p w14:paraId="01F0C009">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（二）有关金额或数字之填写，一律以阿拉伯数字为之；金额之填写，除人民币外，均应表明其币别。外币须折合人民币的，均以20</w:t>
      </w:r>
      <w:r>
        <w:rPr>
          <w:rFonts w:hint="default"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19</w:t>
      </w:r>
      <w:r>
        <w:rPr>
          <w:rFonts w:hint="eastAsia" w:ascii="仿宋" w:hAnsi="仿宋" w:eastAsia="仿宋" w:cs="仿宋"/>
          <w:sz w:val="24"/>
        </w:rPr>
        <w:t>日之收盘汇率为计算标准。</w:t>
      </w:r>
    </w:p>
    <w:p w14:paraId="7907F8B9">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（三）申报人填写《债权申报登记表》所列各栏时，若其中有部分项目无可填报的，应填写“无”或“本栏空白”等字样或以斜线划去，不可保留空栏。</w:t>
      </w:r>
    </w:p>
    <w:p w14:paraId="01257E5A">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（四）申报人填写《债权申报登记表》时，应避免书写错误，若有增、删、涂改，应于增、删、涂改处盖章或签字。</w:t>
      </w:r>
    </w:p>
    <w:p w14:paraId="319AC888">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（五）《债权申报登记表》所列应申报项目各栏如不敷填写时，申报人得依各项目之内容与规格，另行制作表格填写，附于该申报表之后，注明页数，并于骑缝处盖章或签字。</w:t>
      </w:r>
    </w:p>
    <w:p w14:paraId="219B786A">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（六）申报人于申报登记时，对《债权申报登记表》各栏应填写之事项有需补充说明者，得于“备注”栏内按填写事项之先后顺序逐一说明。</w:t>
      </w:r>
    </w:p>
    <w:p w14:paraId="2477C7C3">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七、债权申报中的通知和公告</w:t>
      </w:r>
    </w:p>
    <w:p w14:paraId="094E50B2">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（一）为全体债权人利益考虑，清算组将通过网络发布各项公告和通知（直接访问网址https://pccz.court.gov.cn/）。</w:t>
      </w:r>
    </w:p>
    <w:p w14:paraId="74352BFB">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（二）如债权人因未能及时浏览上述网页通知/公告而导致相应权利的丧失，清算组不承担未通知债权人的责任。</w:t>
      </w:r>
    </w:p>
    <w:p w14:paraId="01CA0D97">
      <w:pPr>
        <w:tabs>
          <w:tab w:val="left" w:pos="5411"/>
        </w:tabs>
        <w:spacing w:line="400" w:lineRule="exact"/>
        <w:ind w:firstLine="480" w:firstLineChars="200"/>
        <w:rPr>
          <w:rFonts w:ascii="仿宋" w:hAnsi="仿宋" w:eastAsia="仿宋" w:cs="仿宋"/>
          <w:b/>
          <w:bCs/>
          <w:sz w:val="24"/>
          <w:u w:val="single"/>
        </w:rPr>
      </w:pPr>
      <w:r>
        <w:rPr>
          <w:rFonts w:hint="eastAsia" w:ascii="仿宋" w:hAnsi="仿宋" w:eastAsia="仿宋" w:cs="仿宋"/>
          <w:sz w:val="24"/>
        </w:rPr>
        <w:t>（三）就强制清算中发生的各种问题，债权人也可致电联系人（</w:t>
      </w:r>
      <w:r>
        <w:rPr>
          <w:rStyle w:val="5"/>
          <w:rFonts w:hint="eastAsia" w:ascii="仿宋" w:hAnsi="仿宋" w:eastAsia="仿宋" w:cs="仿宋"/>
          <w:b/>
          <w:bCs/>
          <w:color w:val="auto"/>
          <w:sz w:val="24"/>
          <w:u w:val="none"/>
        </w:rPr>
        <w:t>叶律师 18672964269</w:t>
      </w:r>
      <w:r>
        <w:rPr>
          <w:rStyle w:val="5"/>
          <w:rFonts w:hint="eastAsia" w:ascii="仿宋" w:hAnsi="仿宋" w:eastAsia="仿宋" w:cs="仿宋"/>
          <w:b/>
          <w:bCs/>
          <w:color w:val="auto"/>
          <w:sz w:val="24"/>
          <w:u w:val="none"/>
          <w:lang w:eastAsia="zh-CN"/>
        </w:rPr>
        <w:t>；</w:t>
      </w:r>
      <w:r>
        <w:rPr>
          <w:rStyle w:val="5"/>
          <w:rFonts w:hint="eastAsia" w:ascii="仿宋" w:hAnsi="仿宋" w:eastAsia="仿宋" w:cs="仿宋"/>
          <w:b/>
          <w:bCs/>
          <w:color w:val="auto"/>
          <w:sz w:val="24"/>
          <w:u w:val="none"/>
        </w:rPr>
        <w:t>胡律师 13657247791</w:t>
      </w:r>
      <w:r>
        <w:rPr>
          <w:rFonts w:hint="eastAsia" w:ascii="仿宋" w:hAnsi="仿宋" w:eastAsia="仿宋" w:cs="仿宋"/>
          <w:sz w:val="24"/>
        </w:rPr>
        <w:t>）进行电话咨询。</w:t>
      </w:r>
    </w:p>
    <w:p w14:paraId="22E7A83F">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八、已申报债权的初步审核</w:t>
      </w:r>
    </w:p>
    <w:p w14:paraId="1A37E640">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（一）清算组在收到债权人申报的材料以后，将从形式和实质上对债权人所申报的债权进行审核，并根据审核的结果制作债权表，供债权人审核。</w:t>
      </w:r>
    </w:p>
    <w:p w14:paraId="2CFAD187">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（二）如清算组在初审中发现债权人提交的书面申报材料在形式上存在瑕疵，例如存在提供材料不齐全，清算组应当以口头或者书面方式通知债权人。</w:t>
      </w:r>
    </w:p>
    <w:p w14:paraId="174E412A">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（三）如清算组经过初审，认为根据债权人提交的书面申报材料以及债务人提供的证明材料足以证明债权人申报的债权本身或债权额应当予以调整的，清算组应当以口头或者书面方式通知债权人。</w:t>
      </w:r>
    </w:p>
    <w:p w14:paraId="0D1CA628">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（四）清算组应在债权申报期届满后合理期限内将所有债权申报材料和审核记录置于妥善地点，供全体债权人查阅。清算组应在债权申报期届满后合理期限内编制债权表，供全体债权人查阅。</w:t>
      </w:r>
    </w:p>
    <w:p w14:paraId="7BC3984C">
      <w:pPr>
        <w:spacing w:line="400" w:lineRule="exact"/>
        <w:ind w:firstLine="482" w:firstLineChars="200"/>
        <w:contextualSpacing/>
        <w:rPr>
          <w:rFonts w:ascii="仿宋" w:hAnsi="仿宋" w:eastAsia="仿宋" w:cs="仿宋"/>
          <w:b/>
          <w:sz w:val="24"/>
        </w:rPr>
      </w:pPr>
      <w:r>
        <w:rPr>
          <w:rFonts w:hint="eastAsia" w:ascii="仿宋" w:hAnsi="仿宋" w:eastAsia="仿宋" w:cs="仿宋"/>
          <w:b/>
          <w:sz w:val="24"/>
        </w:rPr>
        <w:t>九、其他有关事项</w:t>
      </w:r>
    </w:p>
    <w:p w14:paraId="7881540F">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（一）未到期的债权，在</w:t>
      </w:r>
      <w:r>
        <w:rPr>
          <w:rFonts w:hint="eastAsia" w:ascii="仿宋" w:hAnsi="仿宋" w:eastAsia="仿宋" w:cs="仿宋"/>
          <w:sz w:val="24"/>
          <w:lang w:eastAsia="zh-CN"/>
        </w:rPr>
        <w:t>强制清算申请</w:t>
      </w:r>
      <w:r>
        <w:rPr>
          <w:rFonts w:hint="eastAsia" w:ascii="仿宋" w:hAnsi="仿宋" w:eastAsia="仿宋" w:cs="仿宋"/>
          <w:sz w:val="24"/>
        </w:rPr>
        <w:t>受理时视为到期，附利息的债权自20</w:t>
      </w:r>
      <w:r>
        <w:rPr>
          <w:rFonts w:hint="default"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w:t>
      </w:r>
      <w:r>
        <w:rPr>
          <w:rFonts w:hint="eastAsia" w:ascii="仿宋" w:hAnsi="仿宋" w:eastAsia="仿宋" w:cs="仿宋"/>
          <w:sz w:val="24"/>
          <w:lang w:val="en-US" w:eastAsia="zh-CN"/>
        </w:rPr>
        <w:t>26</w:t>
      </w:r>
      <w:r>
        <w:rPr>
          <w:rFonts w:hint="eastAsia" w:ascii="仿宋" w:hAnsi="仿宋" w:eastAsia="仿宋" w:cs="仿宋"/>
          <w:sz w:val="24"/>
        </w:rPr>
        <w:t>日起停止计息。</w:t>
      </w:r>
    </w:p>
    <w:p w14:paraId="19CDCA1D">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（二）附条件、附期限的债权和诉讼、仲裁未决的债权，债权人可以申报。</w:t>
      </w:r>
    </w:p>
    <w:p w14:paraId="15D71D43">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（三）连带债权人可以由其中一人代表全体连带请权人申报债权，也可以共同申报债权。</w:t>
      </w:r>
    </w:p>
    <w:p w14:paraId="378FF246">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（四）债务人的保证人或者其他连带债务人已经代替债务人清偿债务的，以其对债务人的求偿权申报债权。</w:t>
      </w:r>
    </w:p>
    <w:p w14:paraId="20A070A1">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债务人的保证人或者其他连带债务人尚未代替债务人清偿债务的，以其对债务人的将来求偿权申报债权。但是，债权人已经向清算组申报全部债权的除外。</w:t>
      </w:r>
    </w:p>
    <w:p w14:paraId="6D686538">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（五）债权人逾期进行债权申报的，可以在</w:t>
      </w:r>
      <w:r>
        <w:rPr>
          <w:rFonts w:hint="eastAsia" w:ascii="仿宋" w:hAnsi="仿宋" w:eastAsia="仿宋" w:cs="仿宋"/>
          <w:sz w:val="24"/>
          <w:lang w:eastAsia="zh-CN"/>
        </w:rPr>
        <w:t>清算财产</w:t>
      </w:r>
      <w:r>
        <w:rPr>
          <w:rFonts w:hint="eastAsia" w:ascii="仿宋" w:hAnsi="仿宋" w:eastAsia="仿宋" w:cs="仿宋"/>
          <w:sz w:val="24"/>
        </w:rPr>
        <w:t>最后分配前补充申报，但对此前已进行的分配无权要求补充分配，同时要承担为审查和确认补充申报债权所产生的费用。</w:t>
      </w:r>
    </w:p>
    <w:p w14:paraId="447B771F">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（六）债权申报登记不构成确权，不构成对无效债权（包括但不限于已过诉讼时效的债权等）的重新有效确认。</w:t>
      </w:r>
    </w:p>
    <w:p w14:paraId="4C478199">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（七）本须知由清算组制定并报人民法院备案，由清算组负责解释。</w:t>
      </w:r>
    </w:p>
    <w:p w14:paraId="79C17371">
      <w:pPr>
        <w:spacing w:line="400" w:lineRule="exact"/>
        <w:ind w:firstLine="480" w:firstLineChars="200"/>
        <w:contextualSpacing/>
        <w:rPr>
          <w:rFonts w:ascii="仿宋" w:hAnsi="仿宋" w:eastAsia="仿宋" w:cs="仿宋"/>
          <w:sz w:val="24"/>
        </w:rPr>
      </w:pPr>
    </w:p>
    <w:p w14:paraId="68C79DFB">
      <w:pPr>
        <w:spacing w:line="400" w:lineRule="exact"/>
        <w:ind w:firstLine="482" w:firstLineChars="200"/>
        <w:contextualSpacing/>
        <w:jc w:val="right"/>
        <w:rPr>
          <w:rFonts w:ascii="仿宋" w:hAnsi="仿宋" w:eastAsia="仿宋" w:cs="仿宋"/>
          <w:b/>
          <w:sz w:val="24"/>
        </w:rPr>
      </w:pPr>
      <w:r>
        <w:rPr>
          <w:rFonts w:hint="eastAsia" w:ascii="仿宋" w:hAnsi="仿宋" w:eastAsia="仿宋" w:cs="仿宋"/>
          <w:b/>
          <w:sz w:val="24"/>
          <w:lang w:eastAsia="zh-CN"/>
        </w:rPr>
        <w:t>武汉市海伦建筑装饰材料有限责任公司</w:t>
      </w:r>
      <w:r>
        <w:rPr>
          <w:rFonts w:hint="eastAsia" w:ascii="仿宋" w:hAnsi="仿宋" w:eastAsia="仿宋" w:cs="仿宋"/>
          <w:b/>
          <w:sz w:val="24"/>
        </w:rPr>
        <w:t>清算组</w:t>
      </w:r>
    </w:p>
    <w:p w14:paraId="675F80EE">
      <w:pPr>
        <w:spacing w:line="400" w:lineRule="exact"/>
        <w:ind w:firstLine="482" w:firstLineChars="200"/>
        <w:contextualSpacing/>
        <w:jc w:val="right"/>
        <w:rPr>
          <w:rFonts w:ascii="仿宋" w:hAnsi="仿宋" w:eastAsia="仿宋" w:cs="仿宋"/>
          <w:color w:val="FF0000"/>
          <w:sz w:val="24"/>
        </w:rPr>
      </w:pPr>
      <w:r>
        <w:rPr>
          <w:rFonts w:hint="eastAsia" w:ascii="仿宋" w:hAnsi="仿宋" w:eastAsia="仿宋" w:cs="仿宋"/>
          <w:b/>
          <w:sz w:val="24"/>
        </w:rPr>
        <w:t xml:space="preserve">       二〇</w:t>
      </w:r>
      <w:r>
        <w:rPr>
          <w:rFonts w:hint="eastAsia" w:ascii="仿宋" w:hAnsi="仿宋" w:eastAsia="仿宋" w:cs="仿宋"/>
          <w:b/>
          <w:sz w:val="24"/>
          <w:lang w:val="en-US" w:eastAsia="zh-Hans"/>
        </w:rPr>
        <w:t>二</w:t>
      </w:r>
      <w:r>
        <w:rPr>
          <w:rFonts w:hint="eastAsia" w:ascii="仿宋" w:hAnsi="仿宋" w:eastAsia="仿宋" w:cs="仿宋"/>
          <w:b/>
          <w:sz w:val="24"/>
          <w:lang w:val="en-US" w:eastAsia="zh-CN"/>
        </w:rPr>
        <w:t>六</w:t>
      </w:r>
      <w:r>
        <w:rPr>
          <w:rFonts w:hint="eastAsia" w:ascii="仿宋" w:hAnsi="仿宋" w:eastAsia="仿宋" w:cs="仿宋"/>
          <w:b/>
          <w:sz w:val="24"/>
        </w:rPr>
        <w:t>年</w:t>
      </w:r>
      <w:r>
        <w:rPr>
          <w:rFonts w:hint="eastAsia" w:ascii="仿宋" w:hAnsi="仿宋" w:eastAsia="仿宋" w:cs="仿宋"/>
          <w:b/>
          <w:sz w:val="24"/>
          <w:lang w:val="en-US" w:eastAsia="zh-CN"/>
        </w:rPr>
        <w:t>四</w:t>
      </w:r>
      <w:r>
        <w:rPr>
          <w:rFonts w:hint="eastAsia" w:ascii="仿宋" w:hAnsi="仿宋" w:eastAsia="仿宋" w:cs="仿宋"/>
          <w:b/>
          <w:color w:val="000000"/>
          <w:sz w:val="24"/>
        </w:rPr>
        <w:t>月</w:t>
      </w:r>
      <w:r>
        <w:rPr>
          <w:rFonts w:hint="eastAsia" w:ascii="仿宋" w:hAnsi="仿宋" w:eastAsia="仿宋" w:cs="仿宋"/>
          <w:b/>
          <w:color w:val="000000"/>
          <w:sz w:val="24"/>
          <w:lang w:val="en-US" w:eastAsia="zh-CN"/>
        </w:rPr>
        <w:t>十六</w:t>
      </w:r>
      <w:r>
        <w:rPr>
          <w:rFonts w:hint="eastAsia" w:ascii="仿宋" w:hAnsi="仿宋" w:eastAsia="仿宋" w:cs="仿宋"/>
          <w:b/>
          <w:color w:val="000000"/>
          <w:sz w:val="24"/>
        </w:rPr>
        <w:t>日</w:t>
      </w:r>
    </w:p>
    <w:p w14:paraId="3B9DF338">
      <w:pPr>
        <w:spacing w:line="400" w:lineRule="exact"/>
        <w:ind w:right="240" w:firstLine="6240" w:firstLineChars="2600"/>
        <w:jc w:val="right"/>
        <w:rPr>
          <w:rFonts w:ascii="仿宋" w:hAnsi="仿宋" w:eastAsia="仿宋" w:cs="仿宋"/>
          <w:sz w:val="24"/>
        </w:rPr>
      </w:pPr>
    </w:p>
    <w:tbl>
      <w:tblPr>
        <w:tblStyle w:val="3"/>
        <w:tblpPr w:leftFromText="180" w:rightFromText="180" w:vertAnchor="text" w:horzAnchor="page" w:tblpX="1501"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1"/>
      </w:tblGrid>
      <w:tr w14:paraId="592A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1" w:type="dxa"/>
            <w:noWrap/>
          </w:tcPr>
          <w:p w14:paraId="31E6C518">
            <w:pPr>
              <w:spacing w:line="400" w:lineRule="exact"/>
              <w:rPr>
                <w:rFonts w:ascii="仿宋" w:hAnsi="仿宋" w:eastAsia="仿宋" w:cs="仿宋"/>
                <w:sz w:val="24"/>
              </w:rPr>
            </w:pPr>
            <w:r>
              <w:rPr>
                <w:rFonts w:hint="eastAsia" w:ascii="仿宋" w:hAnsi="仿宋" w:eastAsia="仿宋" w:cs="仿宋"/>
                <w:sz w:val="24"/>
              </w:rPr>
              <w:t>以上《申报须知》内容已经知悉，现予确认。</w:t>
            </w:r>
          </w:p>
          <w:p w14:paraId="5814721F">
            <w:pPr>
              <w:spacing w:line="400" w:lineRule="exact"/>
              <w:rPr>
                <w:rFonts w:ascii="仿宋" w:hAnsi="仿宋" w:eastAsia="仿宋" w:cs="仿宋"/>
                <w:sz w:val="24"/>
              </w:rPr>
            </w:pPr>
            <w:r>
              <w:rPr>
                <w:rFonts w:hint="eastAsia" w:ascii="仿宋" w:hAnsi="仿宋" w:eastAsia="仿宋" w:cs="仿宋"/>
                <w:sz w:val="24"/>
              </w:rPr>
              <w:t xml:space="preserve">                                             债权申报人：   </w:t>
            </w:r>
          </w:p>
          <w:p w14:paraId="6FB78D2D">
            <w:pPr>
              <w:spacing w:line="400" w:lineRule="exact"/>
              <w:rPr>
                <w:rFonts w:ascii="仿宋" w:hAnsi="仿宋" w:eastAsia="仿宋" w:cs="仿宋"/>
                <w:sz w:val="24"/>
              </w:rPr>
            </w:pPr>
            <w:r>
              <w:rPr>
                <w:rFonts w:hint="eastAsia" w:ascii="仿宋" w:hAnsi="仿宋" w:eastAsia="仿宋" w:cs="仿宋"/>
                <w:szCs w:val="21"/>
              </w:rPr>
              <w:t>（签名或盖章）</w:t>
            </w:r>
          </w:p>
          <w:p w14:paraId="171052E9">
            <w:pPr>
              <w:spacing w:line="400" w:lineRule="exact"/>
              <w:ind w:firstLine="5520" w:firstLineChars="2300"/>
              <w:rPr>
                <w:rFonts w:ascii="仿宋" w:hAnsi="仿宋" w:eastAsia="仿宋" w:cs="仿宋"/>
                <w:sz w:val="24"/>
              </w:rPr>
            </w:pPr>
            <w:r>
              <w:rPr>
                <w:rFonts w:hint="eastAsia" w:ascii="仿宋" w:hAnsi="仿宋" w:eastAsia="仿宋" w:cs="仿宋"/>
                <w:sz w:val="24"/>
              </w:rPr>
              <w:t>时间:年    月    日</w:t>
            </w:r>
          </w:p>
          <w:p w14:paraId="7A6FE515">
            <w:pPr>
              <w:spacing w:line="400" w:lineRule="exact"/>
              <w:rPr>
                <w:rFonts w:ascii="仿宋" w:hAnsi="仿宋" w:eastAsia="仿宋" w:cs="仿宋"/>
                <w:sz w:val="24"/>
              </w:rPr>
            </w:pPr>
          </w:p>
        </w:tc>
      </w:tr>
    </w:tbl>
    <w:p w14:paraId="70AEC9BA">
      <w:pPr>
        <w:pStyle w:val="2"/>
        <w:widowControl/>
        <w:spacing w:beforeAutospacing="0" w:afterAutospacing="0" w:line="400" w:lineRule="exact"/>
        <w:ind w:left="420" w:leftChars="200"/>
        <w:rPr>
          <w:rFonts w:hint="eastAsia" w:ascii="仿宋" w:hAnsi="仿宋" w:eastAsia="仿宋" w:cs="仿宋"/>
        </w:rPr>
      </w:pPr>
    </w:p>
    <w:p w14:paraId="2C938C64">
      <w:pPr>
        <w:bidi w:val="0"/>
        <w:rPr>
          <w:rFonts w:hint="eastAsia"/>
        </w:rPr>
      </w:pPr>
    </w:p>
    <w:p w14:paraId="1D0CBF8E">
      <w:pPr>
        <w:bidi w:val="0"/>
        <w:rPr>
          <w:rFonts w:hint="eastAsia"/>
        </w:rPr>
      </w:pPr>
    </w:p>
    <w:p w14:paraId="4B0CEB3C">
      <w:pPr>
        <w:bidi w:val="0"/>
        <w:rPr>
          <w:rFonts w:hint="eastAsia"/>
        </w:rPr>
      </w:pPr>
    </w:p>
    <w:p w14:paraId="65172412">
      <w:pPr>
        <w:bidi w:val="0"/>
        <w:rPr>
          <w:rFonts w:hint="eastAsia"/>
        </w:rPr>
      </w:pPr>
    </w:p>
    <w:p w14:paraId="63E7F6D3">
      <w:pPr>
        <w:bidi w:val="0"/>
        <w:rPr>
          <w:rFonts w:hint="eastAsia"/>
        </w:rPr>
      </w:pPr>
    </w:p>
    <w:p w14:paraId="14335120">
      <w:pPr>
        <w:bidi w:val="0"/>
        <w:rPr>
          <w:rFonts w:hint="eastAsia"/>
        </w:rPr>
      </w:pPr>
    </w:p>
    <w:p w14:paraId="561D7E05">
      <w:pPr>
        <w:bidi w:val="0"/>
        <w:rPr>
          <w:rFonts w:hint="eastAsia"/>
        </w:rPr>
      </w:pPr>
    </w:p>
    <w:p w14:paraId="59572BE7">
      <w:pPr>
        <w:bidi w:val="0"/>
        <w:rPr>
          <w:rFonts w:hint="eastAsia"/>
        </w:rPr>
      </w:pPr>
    </w:p>
    <w:p w14:paraId="2FAD76A2">
      <w:pPr>
        <w:bidi w:val="0"/>
        <w:rPr>
          <w:rFonts w:hint="eastAsia"/>
        </w:rPr>
      </w:pPr>
    </w:p>
    <w:p w14:paraId="46CB07B3">
      <w:pPr>
        <w:bidi w:val="0"/>
        <w:rPr>
          <w:rFonts w:hint="eastAsia"/>
        </w:rPr>
      </w:pPr>
    </w:p>
    <w:p w14:paraId="1CD5603A">
      <w:pPr>
        <w:bidi w:val="0"/>
        <w:rPr>
          <w:rFonts w:hint="eastAsia"/>
        </w:rPr>
      </w:pPr>
    </w:p>
    <w:p w14:paraId="0678ADA4">
      <w:pPr>
        <w:bidi w:val="0"/>
        <w:rPr>
          <w:rFonts w:hint="eastAsia"/>
        </w:rPr>
      </w:pPr>
    </w:p>
    <w:p w14:paraId="59953F1B">
      <w:pPr>
        <w:bidi w:val="0"/>
        <w:rPr>
          <w:rFonts w:hint="eastAsia"/>
        </w:rPr>
      </w:pPr>
    </w:p>
    <w:bookmarkEnd w:id="0"/>
    <w:p w14:paraId="09747726">
      <w:pPr>
        <w:bidi w:val="0"/>
        <w:jc w:val="left"/>
      </w:pPr>
    </w:p>
    <w:p w14:paraId="5BD18146"/>
    <w:p w14:paraId="487C0263"/>
    <w:sectPr>
      <w:pgSz w:w="11850" w:h="16783"/>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7421E"/>
    <w:rsid w:val="0327421E"/>
    <w:rsid w:val="526E6479"/>
    <w:rsid w:val="530A459A"/>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0"/>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2727</Words>
  <Characters>2863</Characters>
  <Lines>0</Lines>
  <Paragraphs>0</Paragraphs>
  <TotalTime>8</TotalTime>
  <ScaleCrop>false</ScaleCrop>
  <LinksUpToDate>false</LinksUpToDate>
  <CharactersWithSpaces>2944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2026-04-16T02:51:00Z</dcterms:created>
  <dc:creator>家方瓮眉</dc:creator>
  <cp:lastModifiedBy>hzx</cp:lastModifiedBy>
  <dcterms:modified xsi:type="dcterms:W3CDTF">2026-04-16T06:44:42Z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876AF4FB5C40456389CF248A33A5E3E1_11</vt:lpwstr>
  </property>
  <property fmtid="{D5CDD505-2E9C-101B-9397-08002B2CF9AE}" pid="4" name="KSOTemplateDocerSaveRecord">
    <vt:lpwstr>eyJoZGlkIjoiYmFlMThjOTc3NjkyYWY0MjRiZTM4YzRlNDhhNjZhN2QiLCJ1c2VySWQiOiIzNDgyMzU5MjIifQ==</vt:lpwstr>
  </property>
</Properties>
</file>