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186" w:firstLineChars="58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广东万联信息科技有限公司</w:t>
      </w:r>
      <w:r>
        <w:rPr>
          <w:rFonts w:hint="eastAsia" w:ascii="仿宋" w:hAnsi="仿宋" w:eastAsia="仿宋"/>
          <w:b/>
          <w:bCs/>
          <w:sz w:val="32"/>
          <w:szCs w:val="32"/>
        </w:rPr>
        <w:t>破产清算案</w:t>
      </w:r>
    </w:p>
    <w:p>
      <w:pPr>
        <w:spacing w:line="420" w:lineRule="exact"/>
        <w:ind w:firstLine="186" w:firstLineChars="58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送达方式确认书</w:t>
      </w:r>
    </w:p>
    <w:p>
      <w:pPr>
        <w:spacing w:line="420" w:lineRule="exact"/>
        <w:ind w:firstLine="226"/>
        <w:rPr>
          <w:rFonts w:ascii="仿宋" w:hAnsi="仿宋" w:eastAsia="仿宋"/>
          <w:b/>
          <w:bCs/>
          <w:sz w:val="36"/>
          <w:szCs w:val="36"/>
        </w:rPr>
      </w:pPr>
    </w:p>
    <w:tbl>
      <w:tblPr>
        <w:tblStyle w:val="5"/>
        <w:tblW w:w="1003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3260"/>
        <w:gridCol w:w="4085"/>
      </w:tblGrid>
      <w:tr>
        <w:trPr>
          <w:trHeight w:val="509" w:hRule="atLeast"/>
        </w:trPr>
        <w:tc>
          <w:tcPr>
            <w:tcW w:w="113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案号</w:t>
            </w:r>
          </w:p>
        </w:tc>
        <w:tc>
          <w:tcPr>
            <w:tcW w:w="8904" w:type="dxa"/>
            <w:gridSpan w:val="3"/>
            <w:vAlign w:val="center"/>
          </w:tcPr>
          <w:p>
            <w:pPr>
              <w:spacing w:line="400" w:lineRule="exact"/>
              <w:ind w:left="227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（202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）粤19破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44号</w:t>
            </w:r>
          </w:p>
        </w:tc>
      </w:tr>
      <w:tr>
        <w:trPr>
          <w:trHeight w:val="3885" w:hRule="atLeast"/>
        </w:trPr>
        <w:tc>
          <w:tcPr>
            <w:tcW w:w="113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告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知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事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</w:t>
            </w:r>
          </w:p>
        </w:tc>
        <w:tc>
          <w:tcPr>
            <w:tcW w:w="8904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为便于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接收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广东万联信息科技有限公司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破产清算案（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下称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“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”）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相关材料，保证破产案件顺利进行，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应当如实提供确切的送达地址。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确认的送达地址适用于本案整个过程，自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广东万联信息科技有限公司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被人民法院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裁定受理破产清算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之日起至本案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程序终结之日止。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</w:t>
            </w:r>
            <w:bookmarkStart w:id="0" w:name="_GoBack"/>
            <w:bookmarkEnd w:id="0"/>
            <w:r>
              <w:rPr>
                <w:rFonts w:ascii="仿宋" w:hAnsi="仿宋" w:eastAsia="仿宋"/>
                <w:color w:val="232323"/>
                <w:kern w:val="0"/>
                <w:sz w:val="24"/>
              </w:rPr>
              <w:t>达地址在本案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程序终结前有变更，应当及时通过书面方式告知管理人变更后的送达地址。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管理人将通过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提供的送达方式向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送达本案相关材料，如果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提供的送达方式不确切或不及时告知管理人变更后的送达方式，导致本案相关材料无法送达，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应自行承担由此可能产生的法律后果。</w:t>
            </w:r>
          </w:p>
        </w:tc>
      </w:tr>
      <w:tr>
        <w:trPr>
          <w:trHeight w:val="56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送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达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方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式</w:t>
            </w:r>
          </w:p>
        </w:tc>
        <w:tc>
          <w:tcPr>
            <w:tcW w:w="8904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 xml:space="preserve">：                                </w:t>
            </w:r>
          </w:p>
        </w:tc>
      </w:tr>
      <w:tr>
        <w:trPr>
          <w:trHeight w:val="56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邮寄送达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（必填）</w:t>
            </w:r>
          </w:p>
        </w:tc>
        <w:tc>
          <w:tcPr>
            <w:tcW w:w="3260" w:type="dxa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申报人</w:t>
            </w:r>
            <w:r>
              <w:rPr>
                <w:rFonts w:ascii="仿宋" w:hAnsi="仿宋" w:eastAsia="仿宋"/>
                <w:sz w:val="24"/>
              </w:rPr>
              <w:t>收件人：</w:t>
            </w:r>
          </w:p>
        </w:tc>
        <w:tc>
          <w:tcPr>
            <w:tcW w:w="4085" w:type="dxa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联系电话：</w:t>
            </w:r>
          </w:p>
        </w:tc>
      </w:tr>
      <w:tr>
        <w:trPr>
          <w:trHeight w:val="827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5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收件地址：</w:t>
            </w:r>
          </w:p>
        </w:tc>
      </w:tr>
      <w:tr>
        <w:trPr>
          <w:trHeight w:val="556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</w:t>
            </w:r>
            <w:r>
              <w:rPr>
                <w:rFonts w:ascii="仿宋" w:hAnsi="仿宋" w:eastAsia="仿宋"/>
                <w:sz w:val="24"/>
              </w:rPr>
              <w:t>送达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（必填）</w:t>
            </w:r>
          </w:p>
        </w:tc>
        <w:tc>
          <w:tcPr>
            <w:tcW w:w="7345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  <w:r>
              <w:rPr>
                <w:rFonts w:ascii="仿宋" w:hAnsi="仿宋" w:eastAsia="仿宋"/>
                <w:sz w:val="24"/>
              </w:rPr>
              <w:t xml:space="preserve">邮箱： </w:t>
            </w:r>
          </w:p>
        </w:tc>
      </w:tr>
      <w:tr>
        <w:trPr>
          <w:trHeight w:val="3608" w:hRule="atLeast"/>
        </w:trPr>
        <w:tc>
          <w:tcPr>
            <w:tcW w:w="113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债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权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确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认</w:t>
            </w:r>
          </w:p>
        </w:tc>
        <w:tc>
          <w:tcPr>
            <w:tcW w:w="89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480" w:firstLineChars="200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本人/本单位已认真阅读本确认书的告知事项，提供了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以上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送达方式，并保证所提供的送达方式各项内容是正确的、有效的。管理人按照上栏送达方式送达本案相关材料的，视为送达；如果因本人/本单位提供的送达方式不确切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、不准确、拒绝签收或者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未及时告知管理人变更后的送达方式，使本案相关材料通过上述方式无法送达的，本人/本单位自愿确认：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管理人通过邮寄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方式送达的，相关文书退回之日视为送达之日；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管理人通过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通讯送达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方式送达的，以管理人发出邮件/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短信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的当日作为送达之日。</w:t>
            </w:r>
          </w:p>
          <w:p>
            <w:p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因此造成的法律后果由本人/本单位自行承担。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或授权代理人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（签名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盖章）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：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color w:val="232323"/>
                <w:kern w:val="0"/>
                <w:sz w:val="24"/>
              </w:rPr>
            </w:pPr>
          </w:p>
          <w:p>
            <w:pPr>
              <w:spacing w:line="420" w:lineRule="exact"/>
              <w:jc w:val="righ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年    月    日</w:t>
            </w:r>
          </w:p>
        </w:tc>
      </w:tr>
    </w:tbl>
    <w:p>
      <w:pPr>
        <w:spacing w:line="420" w:lineRule="exact"/>
        <w:rPr>
          <w:rFonts w:ascii="仿宋" w:hAnsi="仿宋" w:eastAsia="仿宋"/>
          <w:color w:val="232323"/>
          <w:kern w:val="0"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86CFF"/>
    <w:multiLevelType w:val="multilevel"/>
    <w:tmpl w:val="40386CFF"/>
    <w:lvl w:ilvl="0" w:tentative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312CA7"/>
    <w:multiLevelType w:val="multilevel"/>
    <w:tmpl w:val="45312CA7"/>
    <w:lvl w:ilvl="0" w:tentative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EC"/>
    <w:rsid w:val="00081F75"/>
    <w:rsid w:val="000A3740"/>
    <w:rsid w:val="000D78DF"/>
    <w:rsid w:val="001E61F8"/>
    <w:rsid w:val="00355535"/>
    <w:rsid w:val="003F2259"/>
    <w:rsid w:val="004424F2"/>
    <w:rsid w:val="00890BF8"/>
    <w:rsid w:val="00915FE8"/>
    <w:rsid w:val="0094117C"/>
    <w:rsid w:val="009A46B7"/>
    <w:rsid w:val="00A47ADA"/>
    <w:rsid w:val="00B14007"/>
    <w:rsid w:val="00CE38C6"/>
    <w:rsid w:val="00DB29EC"/>
    <w:rsid w:val="00ED01F4"/>
    <w:rsid w:val="4FFD0CE0"/>
    <w:rsid w:val="6DB72BAF"/>
    <w:rsid w:val="6FFFA4B8"/>
    <w:rsid w:val="767F83CD"/>
    <w:rsid w:val="76FC1899"/>
    <w:rsid w:val="DDEEBF07"/>
    <w:rsid w:val="DF7FD747"/>
    <w:rsid w:val="EA7D6DDD"/>
    <w:rsid w:val="EFB33C8A"/>
    <w:rsid w:val="FBF4378F"/>
    <w:rsid w:val="FF6745A7"/>
    <w:rsid w:val="FF7EC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眉 字符"/>
    <w:basedOn w:val="6"/>
    <w:link w:val="4"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4</TotalTime>
  <ScaleCrop>false</ScaleCrop>
  <LinksUpToDate>false</LinksUpToDate>
  <CharactersWithSpaces>744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2023-11-17T23:54:00Z</dcterms:created>
  <dc:creator>洋 吴</dc:creator>
  <cp:lastModifiedBy>格格巫 </cp:lastModifiedBy>
  <dcterms:modified xsi:type="dcterms:W3CDTF">2026-04-27T15:51:09Z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66C15C66EB8B7FA3C86B4466CB1BFC65_42</vt:lpwstr>
  </property>
</Properties>
</file>