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13603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C21F3A"/>
          <w:spacing w:val="0"/>
          <w:sz w:val="48"/>
          <w:szCs w:val="48"/>
          <w:bdr w:val="none" w:color="auto" w:sz="0" w:space="0"/>
        </w:rPr>
        <w:t>竞买公告</w:t>
      </w:r>
    </w:p>
    <w:p w14:paraId="3361B9F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000000"/>
          <w:spacing w:val="0"/>
          <w:sz w:val="28"/>
          <w:szCs w:val="28"/>
          <w:bdr w:val="none" w:color="auto" w:sz="0" w:space="0"/>
        </w:rPr>
        <w:t>重庆五矿机械进出口有限公司</w:t>
      </w:r>
      <w:r>
        <w:rPr>
          <w:rFonts w:hint="eastAsia" w:ascii="宋体" w:hAnsi="宋体" w:eastAsia="宋体" w:cs="宋体"/>
          <w:b/>
          <w:bCs/>
          <w:i w:val="0"/>
          <w:iCs w:val="0"/>
          <w:caps w:val="0"/>
          <w:color w:val="000000"/>
          <w:spacing w:val="0"/>
          <w:sz w:val="28"/>
          <w:szCs w:val="28"/>
          <w:bdr w:val="none" w:color="auto" w:sz="0" w:space="0"/>
        </w:rPr>
        <w:t>管理人（以下简称“管理人”）</w:t>
      </w:r>
      <w:r>
        <w:rPr>
          <w:rFonts w:hint="eastAsia" w:ascii="宋体" w:hAnsi="宋体" w:eastAsia="宋体" w:cs="宋体"/>
          <w:b/>
          <w:bCs/>
          <w:i w:val="0"/>
          <w:iCs w:val="0"/>
          <w:caps w:val="0"/>
          <w:color w:val="FF0000"/>
          <w:spacing w:val="0"/>
          <w:sz w:val="28"/>
          <w:szCs w:val="28"/>
          <w:bdr w:val="none" w:color="auto" w:sz="0" w:space="0"/>
        </w:rPr>
        <w:t>将于2026</w:t>
      </w:r>
      <w:r>
        <w:rPr>
          <w:rFonts w:hint="default" w:ascii="Helvetica" w:hAnsi="Helvetica" w:eastAsia="Helvetica" w:cs="Helvetica"/>
          <w:b/>
          <w:bCs/>
          <w:i w:val="0"/>
          <w:iCs w:val="0"/>
          <w:caps w:val="0"/>
          <w:color w:val="FF0000"/>
          <w:spacing w:val="0"/>
          <w:sz w:val="28"/>
          <w:szCs w:val="28"/>
          <w:bdr w:val="none" w:color="auto" w:sz="0" w:space="0"/>
        </w:rPr>
        <w:t>年4月9</w:t>
      </w:r>
      <w:r>
        <w:rPr>
          <w:rFonts w:hint="eastAsia" w:ascii="宋体" w:hAnsi="宋体" w:eastAsia="宋体" w:cs="宋体"/>
          <w:b/>
          <w:bCs/>
          <w:i w:val="0"/>
          <w:iCs w:val="0"/>
          <w:caps w:val="0"/>
          <w:color w:val="FF0000"/>
          <w:spacing w:val="0"/>
          <w:sz w:val="28"/>
          <w:szCs w:val="28"/>
          <w:bdr w:val="none" w:color="auto" w:sz="0" w:space="0"/>
        </w:rPr>
        <w:t>日上午10时至2026</w:t>
      </w:r>
      <w:r>
        <w:rPr>
          <w:rFonts w:hint="default" w:ascii="Helvetica" w:hAnsi="Helvetica" w:eastAsia="Helvetica" w:cs="Helvetica"/>
          <w:b/>
          <w:bCs/>
          <w:i w:val="0"/>
          <w:iCs w:val="0"/>
          <w:caps w:val="0"/>
          <w:color w:val="FF0000"/>
          <w:spacing w:val="0"/>
          <w:sz w:val="28"/>
          <w:szCs w:val="28"/>
          <w:bdr w:val="none" w:color="auto" w:sz="0" w:space="0"/>
        </w:rPr>
        <w:t>年4月10</w:t>
      </w:r>
      <w:r>
        <w:rPr>
          <w:rFonts w:hint="eastAsia" w:ascii="宋体" w:hAnsi="宋体" w:eastAsia="宋体" w:cs="宋体"/>
          <w:b/>
          <w:bCs/>
          <w:i w:val="0"/>
          <w:iCs w:val="0"/>
          <w:caps w:val="0"/>
          <w:color w:val="FF0000"/>
          <w:spacing w:val="0"/>
          <w:sz w:val="28"/>
          <w:szCs w:val="28"/>
          <w:bdr w:val="none" w:color="auto" w:sz="0" w:space="0"/>
        </w:rPr>
        <w:t>日上午10时止</w:t>
      </w:r>
      <w:r>
        <w:rPr>
          <w:rFonts w:hint="eastAsia" w:ascii="宋体" w:hAnsi="宋体" w:eastAsia="宋体" w:cs="宋体"/>
          <w:b/>
          <w:bCs/>
          <w:i w:val="0"/>
          <w:iCs w:val="0"/>
          <w:caps w:val="0"/>
          <w:color w:val="000000"/>
          <w:spacing w:val="0"/>
          <w:sz w:val="28"/>
          <w:szCs w:val="28"/>
          <w:bdr w:val="none" w:color="auto" w:sz="0" w:space="0"/>
        </w:rPr>
        <w:t>（即24小时，延时除外）在</w:t>
      </w:r>
      <w:r>
        <w:rPr>
          <w:rFonts w:hint="default" w:ascii="Helvetica" w:hAnsi="Helvetica" w:eastAsia="Helvetica" w:cs="Helvetica"/>
          <w:b/>
          <w:bCs/>
          <w:i w:val="0"/>
          <w:iCs w:val="0"/>
          <w:caps w:val="0"/>
          <w:color w:val="000000"/>
          <w:spacing w:val="0"/>
          <w:sz w:val="28"/>
          <w:szCs w:val="28"/>
          <w:bdr w:val="none" w:color="auto" w:sz="0" w:space="0"/>
        </w:rPr>
        <w:t>淘宝网阿里拍卖资产交易破产平台（处置单位：重庆五矿机械进出口有限公司管理人，监督单位：重庆市第五中级人民法院，网址：https://susong.taobao.com/）进行公开拍卖活动，现公告如下：</w:t>
      </w:r>
    </w:p>
    <w:p w14:paraId="3740660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一、重要提示</w:t>
      </w:r>
    </w:p>
    <w:p w14:paraId="2F546FB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1、郑重声明：本标的物系管理人依法独立履行《中华人民共和国企业破产法》第25条6项的职责在破产强清平台处分破产财产。</w:t>
      </w:r>
    </w:p>
    <w:p w14:paraId="7A62B11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2、竞拍前请务必遵照《竞买公告》《竞买须知》要求，调查标的物信息（如权利移交要求等）、了解竞买资质、委托代理及尾款支付方式等内容。如违反相关约定，您的保证金可能会被划扣并产生其他法律责任，请理性参拍。</w:t>
      </w:r>
    </w:p>
    <w:p w14:paraId="15460C2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3、管理人将配合买受人办理标的转让手续，买受人须自行负责通知债务人债权转让事项，可能产生的变更登记、交付、标的转让通知、邮寄等费用由买受人自行承担，能否办理标的转让手续及办理标的转让手续的时间管理人不作任何承诺。</w:t>
      </w:r>
      <w:r>
        <w:rPr>
          <w:rFonts w:hint="default" w:ascii="Helvetica" w:hAnsi="Helvetica" w:eastAsia="Helvetica" w:cs="Helvetica"/>
          <w:b/>
          <w:bCs/>
          <w:i w:val="0"/>
          <w:iCs w:val="0"/>
          <w:caps w:val="0"/>
          <w:color w:val="666666"/>
          <w:spacing w:val="0"/>
          <w:sz w:val="28"/>
          <w:szCs w:val="28"/>
          <w:bdr w:val="none" w:color="auto" w:sz="0" w:space="0"/>
        </w:rPr>
        <w:t>请竞买人在竞买前自行到相关职能部门咨询确认，因标的物现状及存在瑕疵等原因不能或者延迟办理标的转让手续的费用由竞买人自负。</w:t>
      </w:r>
    </w:p>
    <w:p w14:paraId="61C6425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4、本次拍卖公告所作的情况说明，仅为竞买人参与竞买提供参考，不能作为竞买人判断、权衡价值的最终依据，竞买人根据自身需求可自行调查、了解、核实。未尽事宜，管理人、辅助拍卖公司不承担任何责任。</w:t>
      </w:r>
    </w:p>
    <w:p w14:paraId="08D0C3B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5、本次拍卖标的情况较为复杂，拍卖标的物以其现状为准，法院与管理人、辅助拍卖公司不承担标的物瑕疵担保责任。对拍卖标的清收的困难性和可回收性不作任何承诺或保证。除拍卖文件披露外，竞买人应对拍卖标的的实际状况以及瑕疵（含显性、隐性瑕疵）等自行调查核实、承担投资风险。竞买人一旦作出竞买决定，即表明竞买人确认知悉拍卖标的可能存在的瑕疵和风险，竞买人自愿承担受让拍卖标的后可能承受的一切风险以及由该等风险所造成的一切损失或无法实现的预期利益。</w:t>
      </w:r>
      <w:r>
        <w:rPr>
          <w:rFonts w:hint="default" w:ascii="Helvetica" w:hAnsi="Helvetica" w:eastAsia="Helvetica" w:cs="Helvetica"/>
          <w:b/>
          <w:bCs/>
          <w:i w:val="0"/>
          <w:iCs w:val="0"/>
          <w:caps w:val="0"/>
          <w:color w:val="FF0000"/>
          <w:spacing w:val="0"/>
          <w:sz w:val="28"/>
          <w:szCs w:val="28"/>
          <w:bdr w:val="none" w:color="auto" w:sz="0" w:space="0"/>
        </w:rPr>
        <w:t>请竞买人仔细阅读标的信息，并自行调查了解，充分考虑清收的困难性，理性参拍！</w:t>
      </w:r>
    </w:p>
    <w:p w14:paraId="13592EB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000000"/>
          <w:spacing w:val="0"/>
          <w:sz w:val="28"/>
          <w:szCs w:val="28"/>
          <w:bdr w:val="none" w:color="auto" w:sz="0" w:space="0"/>
        </w:rPr>
        <w:t>二、拍卖标的物：</w:t>
      </w:r>
    </w:p>
    <w:p w14:paraId="67106C1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8"/>
          <w:szCs w:val="28"/>
          <w:bdr w:val="none" w:color="auto" w:sz="0" w:space="0"/>
        </w:rPr>
        <w:t>重庆五矿机械进出口有限公司（简称“五矿公司”）对外应收债权，详见重庆五矿机械进出口有限公司应收账款明细表(以下数据仅供参考，具体以实际为准）。</w:t>
      </w:r>
    </w:p>
    <w:tbl>
      <w:tblPr>
        <w:tblW w:w="10029" w:type="dxa"/>
        <w:tblInd w:w="-102" w:type="dxa"/>
        <w:tblBorders>
          <w:top w:val="single" w:color="DCDCDC" w:sz="6" w:space="0"/>
          <w:left w:val="single" w:color="DCDCDC" w:sz="6" w:space="0"/>
          <w:bottom w:val="single" w:color="DCDCDC" w:sz="6" w:space="0"/>
          <w:right w:val="single" w:color="DCDCDC" w:sz="6" w:space="0"/>
          <w:insideH w:val="none" w:color="auto" w:sz="0" w:space="0"/>
          <w:insideV w:val="none" w:color="auto" w:sz="0" w:space="0"/>
        </w:tblBorders>
        <w:shd w:val="clear"/>
        <w:tblLayout w:type="autofit"/>
        <w:tblCellMar>
          <w:top w:w="15" w:type="dxa"/>
          <w:left w:w="15" w:type="dxa"/>
          <w:bottom w:w="15" w:type="dxa"/>
          <w:right w:w="15" w:type="dxa"/>
        </w:tblCellMar>
      </w:tblPr>
      <w:tblGrid>
        <w:gridCol w:w="566"/>
        <w:gridCol w:w="3050"/>
        <w:gridCol w:w="1863"/>
        <w:gridCol w:w="1812"/>
        <w:gridCol w:w="2738"/>
      </w:tblGrid>
      <w:tr w14:paraId="06B457B0">
        <w:tblPrEx>
          <w:tblBorders>
            <w:top w:val="single" w:color="DCDCDC" w:sz="6" w:space="0"/>
            <w:left w:val="single" w:color="DCDCDC" w:sz="6" w:space="0"/>
            <w:bottom w:val="single" w:color="DCDCDC" w:sz="6" w:space="0"/>
            <w:right w:val="single" w:color="DCDCDC" w:sz="6" w:space="0"/>
            <w:insideH w:val="none" w:color="auto" w:sz="0" w:space="0"/>
            <w:insideV w:val="none" w:color="auto" w:sz="0" w:space="0"/>
          </w:tblBorders>
          <w:shd w:val="clear"/>
          <w:tblCellMar>
            <w:top w:w="15" w:type="dxa"/>
            <w:left w:w="15" w:type="dxa"/>
            <w:bottom w:w="15" w:type="dxa"/>
            <w:right w:w="15" w:type="dxa"/>
          </w:tblCellMar>
        </w:tblPrEx>
        <w:trPr>
          <w:trHeight w:val="580" w:hRule="atLeast"/>
        </w:trPr>
        <w:tc>
          <w:tcPr>
            <w:tcW w:w="10029" w:type="dxa"/>
            <w:gridSpan w:val="5"/>
            <w:tcBorders>
              <w:top w:val="single" w:color="DCDCDC" w:sz="6" w:space="0"/>
              <w:left w:val="single" w:color="DCDCDC" w:sz="6" w:space="0"/>
              <w:bottom w:val="single" w:color="DCDCDC" w:sz="6" w:space="0"/>
              <w:right w:val="single" w:color="DCDCDC" w:sz="6" w:space="0"/>
            </w:tcBorders>
            <w:shd w:val="clear"/>
            <w:tcMar>
              <w:top w:w="0" w:type="dxa"/>
              <w:left w:w="108" w:type="dxa"/>
              <w:bottom w:w="0" w:type="dxa"/>
              <w:right w:w="108" w:type="dxa"/>
            </w:tcMar>
            <w:vAlign w:val="center"/>
          </w:tcPr>
          <w:p w14:paraId="0A5AF2C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Helvetica" w:hAnsi="Helvetica" w:eastAsia="Helvetica" w:cs="Helvetica"/>
                <w:b/>
                <w:bCs/>
                <w:i w:val="0"/>
                <w:iCs w:val="0"/>
                <w:caps w:val="0"/>
                <w:color w:val="000000"/>
                <w:spacing w:val="0"/>
                <w:sz w:val="28"/>
                <w:szCs w:val="28"/>
                <w:bdr w:val="none" w:color="auto" w:sz="0" w:space="0"/>
              </w:rPr>
              <w:t>重庆五矿机械进出口有限公司应收账款拍卖明细表</w:t>
            </w:r>
          </w:p>
        </w:tc>
      </w:tr>
      <w:tr w14:paraId="020AA84B">
        <w:tblPrEx>
          <w:tblBorders>
            <w:top w:val="single" w:color="DCDCDC" w:sz="6" w:space="0"/>
            <w:left w:val="single" w:color="DCDCDC" w:sz="6" w:space="0"/>
            <w:bottom w:val="single" w:color="DCDCDC" w:sz="6" w:space="0"/>
            <w:right w:val="single" w:color="DCDCDC" w:sz="6" w:space="0"/>
            <w:insideH w:val="none" w:color="auto" w:sz="0" w:space="0"/>
            <w:insideV w:val="none" w:color="auto" w:sz="0" w:space="0"/>
          </w:tblBorders>
          <w:shd w:val="clear"/>
          <w:tblCellMar>
            <w:top w:w="15" w:type="dxa"/>
            <w:left w:w="15" w:type="dxa"/>
            <w:bottom w:w="15" w:type="dxa"/>
            <w:right w:w="15" w:type="dxa"/>
          </w:tblCellMar>
        </w:tblPrEx>
        <w:trPr>
          <w:trHeight w:val="280" w:hRule="atLeast"/>
        </w:trPr>
        <w:tc>
          <w:tcPr>
            <w:tcW w:w="566" w:type="dxa"/>
            <w:vMerge w:val="restart"/>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7A266AA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Helvetica" w:hAnsi="Helvetica" w:eastAsia="Helvetica" w:cs="Helvetica"/>
                <w:i w:val="0"/>
                <w:iCs w:val="0"/>
                <w:caps w:val="0"/>
                <w:color w:val="000000"/>
                <w:spacing w:val="0"/>
                <w:sz w:val="21"/>
                <w:szCs w:val="21"/>
                <w:bdr w:val="none" w:color="auto" w:sz="0" w:space="0"/>
              </w:rPr>
              <w:t>序号</w:t>
            </w:r>
          </w:p>
        </w:tc>
        <w:tc>
          <w:tcPr>
            <w:tcW w:w="3050" w:type="dxa"/>
            <w:vMerge w:val="restart"/>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0BA664A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Helvetica" w:hAnsi="Helvetica" w:eastAsia="Helvetica" w:cs="Helvetica"/>
                <w:i w:val="0"/>
                <w:iCs w:val="0"/>
                <w:caps w:val="0"/>
                <w:color w:val="000000"/>
                <w:spacing w:val="0"/>
                <w:sz w:val="20"/>
                <w:szCs w:val="20"/>
                <w:bdr w:val="none" w:color="auto" w:sz="0" w:space="0"/>
              </w:rPr>
              <w:t>欠款单位名称（结算对象)</w:t>
            </w:r>
          </w:p>
        </w:tc>
        <w:tc>
          <w:tcPr>
            <w:tcW w:w="1863" w:type="dxa"/>
            <w:vMerge w:val="restart"/>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01197EA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Helvetica" w:hAnsi="Helvetica" w:eastAsia="Helvetica" w:cs="Helvetica"/>
                <w:i w:val="0"/>
                <w:iCs w:val="0"/>
                <w:caps w:val="0"/>
                <w:color w:val="000000"/>
                <w:spacing w:val="0"/>
                <w:sz w:val="20"/>
                <w:szCs w:val="20"/>
                <w:bdr w:val="none" w:color="auto" w:sz="0" w:space="0"/>
              </w:rPr>
              <w:t>账面价值</w:t>
            </w:r>
          </w:p>
        </w:tc>
        <w:tc>
          <w:tcPr>
            <w:tcW w:w="1812" w:type="dxa"/>
            <w:vMerge w:val="restart"/>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4F527F8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Helvetica" w:hAnsi="Helvetica" w:eastAsia="Helvetica" w:cs="Helvetica"/>
                <w:i w:val="0"/>
                <w:iCs w:val="0"/>
                <w:caps w:val="0"/>
                <w:color w:val="000000"/>
                <w:spacing w:val="0"/>
                <w:sz w:val="20"/>
                <w:szCs w:val="20"/>
                <w:bdr w:val="none" w:color="auto" w:sz="0" w:space="0"/>
              </w:rPr>
              <w:t>评估价值</w:t>
            </w:r>
          </w:p>
        </w:tc>
        <w:tc>
          <w:tcPr>
            <w:tcW w:w="2738" w:type="dxa"/>
            <w:vMerge w:val="restart"/>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78D7678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Helvetica" w:hAnsi="Helvetica" w:eastAsia="Helvetica" w:cs="Helvetica"/>
                <w:i w:val="0"/>
                <w:iCs w:val="0"/>
                <w:caps w:val="0"/>
                <w:color w:val="000000"/>
                <w:spacing w:val="0"/>
                <w:sz w:val="20"/>
                <w:szCs w:val="20"/>
                <w:bdr w:val="none" w:color="auto" w:sz="0" w:space="0"/>
              </w:rPr>
              <w:t>备注</w:t>
            </w:r>
          </w:p>
        </w:tc>
      </w:tr>
      <w:tr w14:paraId="09DA3DF1">
        <w:tblPrEx>
          <w:tblBorders>
            <w:top w:val="single" w:color="DCDCDC" w:sz="6" w:space="0"/>
            <w:left w:val="single" w:color="DCDCDC" w:sz="6" w:space="0"/>
            <w:bottom w:val="single" w:color="DCDCDC" w:sz="6" w:space="0"/>
            <w:right w:val="single" w:color="DCDCDC" w:sz="6" w:space="0"/>
            <w:insideH w:val="none" w:color="auto" w:sz="0" w:space="0"/>
            <w:insideV w:val="none" w:color="auto" w:sz="0" w:space="0"/>
          </w:tblBorders>
          <w:tblCellMar>
            <w:top w:w="15" w:type="dxa"/>
            <w:left w:w="15" w:type="dxa"/>
            <w:bottom w:w="15" w:type="dxa"/>
            <w:right w:w="15" w:type="dxa"/>
          </w:tblCellMar>
        </w:tblPrEx>
        <w:trPr>
          <w:trHeight w:val="280" w:hRule="atLeast"/>
        </w:trPr>
        <w:tc>
          <w:tcPr>
            <w:tcW w:w="566" w:type="dxa"/>
            <w:vMerge w:val="continue"/>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02CD920D">
            <w:pPr>
              <w:rPr>
                <w:rFonts w:hint="default" w:ascii="Helvetica" w:hAnsi="Helvetica" w:eastAsia="Helvetica" w:cs="Helvetica"/>
                <w:i w:val="0"/>
                <w:iCs w:val="0"/>
                <w:caps w:val="0"/>
                <w:color w:val="666666"/>
                <w:spacing w:val="0"/>
                <w:sz w:val="21"/>
                <w:szCs w:val="21"/>
              </w:rPr>
            </w:pPr>
          </w:p>
        </w:tc>
        <w:tc>
          <w:tcPr>
            <w:tcW w:w="3050" w:type="dxa"/>
            <w:vMerge w:val="continue"/>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553A05DC">
            <w:pPr>
              <w:rPr>
                <w:rFonts w:hint="default" w:ascii="Helvetica" w:hAnsi="Helvetica" w:eastAsia="Helvetica" w:cs="Helvetica"/>
                <w:i w:val="0"/>
                <w:iCs w:val="0"/>
                <w:caps w:val="0"/>
                <w:color w:val="666666"/>
                <w:spacing w:val="0"/>
                <w:sz w:val="21"/>
                <w:szCs w:val="21"/>
              </w:rPr>
            </w:pPr>
          </w:p>
        </w:tc>
        <w:tc>
          <w:tcPr>
            <w:tcW w:w="1863" w:type="dxa"/>
            <w:vMerge w:val="continue"/>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5759E26C">
            <w:pPr>
              <w:rPr>
                <w:rFonts w:hint="default" w:ascii="Helvetica" w:hAnsi="Helvetica" w:eastAsia="Helvetica" w:cs="Helvetica"/>
                <w:i w:val="0"/>
                <w:iCs w:val="0"/>
                <w:caps w:val="0"/>
                <w:color w:val="666666"/>
                <w:spacing w:val="0"/>
                <w:sz w:val="21"/>
                <w:szCs w:val="21"/>
              </w:rPr>
            </w:pPr>
          </w:p>
        </w:tc>
        <w:tc>
          <w:tcPr>
            <w:tcW w:w="1812" w:type="dxa"/>
            <w:vMerge w:val="continue"/>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3BBE8FE3">
            <w:pPr>
              <w:rPr>
                <w:rFonts w:hint="default" w:ascii="Helvetica" w:hAnsi="Helvetica" w:eastAsia="Helvetica" w:cs="Helvetica"/>
                <w:i w:val="0"/>
                <w:iCs w:val="0"/>
                <w:caps w:val="0"/>
                <w:color w:val="666666"/>
                <w:spacing w:val="0"/>
                <w:sz w:val="21"/>
                <w:szCs w:val="21"/>
              </w:rPr>
            </w:pPr>
          </w:p>
        </w:tc>
        <w:tc>
          <w:tcPr>
            <w:tcW w:w="2738" w:type="dxa"/>
            <w:vMerge w:val="continue"/>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1BAD42C1">
            <w:pPr>
              <w:rPr>
                <w:rFonts w:hint="default" w:ascii="Helvetica" w:hAnsi="Helvetica" w:eastAsia="Helvetica" w:cs="Helvetica"/>
                <w:i w:val="0"/>
                <w:iCs w:val="0"/>
                <w:caps w:val="0"/>
                <w:color w:val="666666"/>
                <w:spacing w:val="0"/>
                <w:sz w:val="21"/>
                <w:szCs w:val="21"/>
              </w:rPr>
            </w:pPr>
          </w:p>
        </w:tc>
      </w:tr>
      <w:tr w14:paraId="01F48F63">
        <w:tblPrEx>
          <w:tblBorders>
            <w:top w:val="single" w:color="DCDCDC" w:sz="6" w:space="0"/>
            <w:left w:val="single" w:color="DCDCDC" w:sz="6" w:space="0"/>
            <w:bottom w:val="single" w:color="DCDCDC" w:sz="6" w:space="0"/>
            <w:right w:val="single" w:color="DCDCDC" w:sz="6" w:space="0"/>
            <w:insideH w:val="none" w:color="auto" w:sz="0" w:space="0"/>
            <w:insideV w:val="none" w:color="auto" w:sz="0" w:space="0"/>
          </w:tblBorders>
          <w:tblCellMar>
            <w:top w:w="15" w:type="dxa"/>
            <w:left w:w="15" w:type="dxa"/>
            <w:bottom w:w="15" w:type="dxa"/>
            <w:right w:w="15" w:type="dxa"/>
          </w:tblCellMar>
        </w:tblPrEx>
        <w:trPr>
          <w:trHeight w:val="520" w:hRule="atLeast"/>
        </w:trPr>
        <w:tc>
          <w:tcPr>
            <w:tcW w:w="566" w:type="dxa"/>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436B980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Helvetica" w:hAnsi="Helvetica" w:eastAsia="Helvetica" w:cs="Helvetica"/>
                <w:i w:val="0"/>
                <w:iCs w:val="0"/>
                <w:caps w:val="0"/>
                <w:color w:val="000000"/>
                <w:spacing w:val="0"/>
                <w:sz w:val="21"/>
                <w:szCs w:val="21"/>
                <w:bdr w:val="none" w:color="auto" w:sz="0" w:space="0"/>
              </w:rPr>
              <w:t>1</w:t>
            </w:r>
          </w:p>
        </w:tc>
        <w:tc>
          <w:tcPr>
            <w:tcW w:w="3050" w:type="dxa"/>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5EB8D60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center"/>
            </w:pPr>
            <w:r>
              <w:rPr>
                <w:rFonts w:hint="default" w:ascii="Helvetica" w:hAnsi="Helvetica" w:eastAsia="Helvetica" w:cs="Helvetica"/>
                <w:i w:val="0"/>
                <w:iCs w:val="0"/>
                <w:caps w:val="0"/>
                <w:color w:val="000000"/>
                <w:spacing w:val="0"/>
                <w:sz w:val="20"/>
                <w:szCs w:val="20"/>
                <w:bdr w:val="none" w:color="auto" w:sz="0" w:space="0"/>
              </w:rPr>
              <w:t>重庆能融电力集团有限公司</w:t>
            </w:r>
          </w:p>
        </w:tc>
        <w:tc>
          <w:tcPr>
            <w:tcW w:w="1863" w:type="dxa"/>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04DFEAC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Helvetica" w:hAnsi="Helvetica" w:eastAsia="Helvetica" w:cs="Helvetica"/>
                <w:i w:val="0"/>
                <w:iCs w:val="0"/>
                <w:caps w:val="0"/>
                <w:color w:val="000000"/>
                <w:spacing w:val="0"/>
                <w:sz w:val="18"/>
                <w:szCs w:val="18"/>
                <w:bdr w:val="none" w:color="auto" w:sz="0" w:space="0"/>
              </w:rPr>
              <w:t>4,303,292.64</w:t>
            </w:r>
          </w:p>
        </w:tc>
        <w:tc>
          <w:tcPr>
            <w:tcW w:w="1812" w:type="dxa"/>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66FAB9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Helvetica" w:hAnsi="Helvetica" w:eastAsia="Helvetica" w:cs="Helvetica"/>
                <w:i w:val="0"/>
                <w:iCs w:val="0"/>
                <w:caps w:val="0"/>
                <w:color w:val="000000"/>
                <w:spacing w:val="0"/>
                <w:sz w:val="18"/>
                <w:szCs w:val="18"/>
                <w:bdr w:val="none" w:color="auto" w:sz="0" w:space="0"/>
              </w:rPr>
              <w:t>4,303,292.64</w:t>
            </w:r>
          </w:p>
        </w:tc>
        <w:tc>
          <w:tcPr>
            <w:tcW w:w="2738" w:type="dxa"/>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3A219D7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center"/>
            </w:pPr>
            <w:r>
              <w:rPr>
                <w:rFonts w:hint="default" w:ascii="Helvetica" w:hAnsi="Helvetica" w:eastAsia="Helvetica" w:cs="Helvetica"/>
                <w:i w:val="0"/>
                <w:iCs w:val="0"/>
                <w:caps w:val="0"/>
                <w:color w:val="000000"/>
                <w:spacing w:val="0"/>
                <w:sz w:val="20"/>
                <w:szCs w:val="20"/>
                <w:bdr w:val="none" w:color="auto" w:sz="0" w:space="0"/>
              </w:rPr>
              <w:t>已裁决终本</w:t>
            </w:r>
          </w:p>
        </w:tc>
      </w:tr>
      <w:tr w14:paraId="045E24D7">
        <w:tblPrEx>
          <w:tblBorders>
            <w:top w:val="single" w:color="DCDCDC" w:sz="6" w:space="0"/>
            <w:left w:val="single" w:color="DCDCDC" w:sz="6" w:space="0"/>
            <w:bottom w:val="single" w:color="DCDCDC" w:sz="6" w:space="0"/>
            <w:right w:val="single" w:color="DCDCDC" w:sz="6" w:space="0"/>
            <w:insideH w:val="none" w:color="auto" w:sz="0" w:space="0"/>
            <w:insideV w:val="none" w:color="auto" w:sz="0" w:space="0"/>
          </w:tblBorders>
          <w:tblCellMar>
            <w:top w:w="15" w:type="dxa"/>
            <w:left w:w="15" w:type="dxa"/>
            <w:bottom w:w="15" w:type="dxa"/>
            <w:right w:w="15" w:type="dxa"/>
          </w:tblCellMar>
        </w:tblPrEx>
        <w:trPr>
          <w:trHeight w:val="780" w:hRule="atLeast"/>
        </w:trPr>
        <w:tc>
          <w:tcPr>
            <w:tcW w:w="566" w:type="dxa"/>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42B4356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Helvetica" w:hAnsi="Helvetica" w:eastAsia="Helvetica" w:cs="Helvetica"/>
                <w:i w:val="0"/>
                <w:iCs w:val="0"/>
                <w:caps w:val="0"/>
                <w:color w:val="000000"/>
                <w:spacing w:val="0"/>
                <w:sz w:val="21"/>
                <w:szCs w:val="21"/>
                <w:bdr w:val="none" w:color="auto" w:sz="0" w:space="0"/>
              </w:rPr>
              <w:t>2</w:t>
            </w:r>
          </w:p>
        </w:tc>
        <w:tc>
          <w:tcPr>
            <w:tcW w:w="3050" w:type="dxa"/>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715D310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center"/>
            </w:pPr>
            <w:r>
              <w:rPr>
                <w:rFonts w:hint="default" w:ascii="Helvetica" w:hAnsi="Helvetica" w:eastAsia="Helvetica" w:cs="Helvetica"/>
                <w:i w:val="0"/>
                <w:iCs w:val="0"/>
                <w:caps w:val="0"/>
                <w:color w:val="000000"/>
                <w:spacing w:val="0"/>
                <w:sz w:val="20"/>
                <w:szCs w:val="20"/>
                <w:bdr w:val="none" w:color="auto" w:sz="0" w:space="0"/>
              </w:rPr>
              <w:t>华阳中远（天津）实业集团有限公司</w:t>
            </w:r>
          </w:p>
        </w:tc>
        <w:tc>
          <w:tcPr>
            <w:tcW w:w="1863" w:type="dxa"/>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4FC74C5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Helvetica" w:hAnsi="Helvetica" w:eastAsia="Helvetica" w:cs="Helvetica"/>
                <w:i w:val="0"/>
                <w:iCs w:val="0"/>
                <w:caps w:val="0"/>
                <w:color w:val="000000"/>
                <w:spacing w:val="0"/>
                <w:sz w:val="18"/>
                <w:szCs w:val="18"/>
                <w:bdr w:val="none" w:color="auto" w:sz="0" w:space="0"/>
              </w:rPr>
              <w:t>136,339,615.75</w:t>
            </w:r>
          </w:p>
        </w:tc>
        <w:tc>
          <w:tcPr>
            <w:tcW w:w="1812" w:type="dxa"/>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33BA5F3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Helvetica" w:hAnsi="Helvetica" w:eastAsia="Helvetica" w:cs="Helvetica"/>
                <w:i w:val="0"/>
                <w:iCs w:val="0"/>
                <w:caps w:val="0"/>
                <w:color w:val="000000"/>
                <w:spacing w:val="0"/>
                <w:sz w:val="18"/>
                <w:szCs w:val="18"/>
                <w:bdr w:val="none" w:color="auto" w:sz="0" w:space="0"/>
              </w:rPr>
              <w:t>136,339,615.75</w:t>
            </w:r>
          </w:p>
        </w:tc>
        <w:tc>
          <w:tcPr>
            <w:tcW w:w="2738" w:type="dxa"/>
            <w:vMerge w:val="restart"/>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2E3DB6B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center"/>
            </w:pPr>
            <w:r>
              <w:rPr>
                <w:rFonts w:hint="eastAsia" w:ascii="宋体" w:hAnsi="宋体" w:eastAsia="宋体" w:cs="宋体"/>
                <w:i w:val="0"/>
                <w:iCs w:val="0"/>
                <w:caps w:val="0"/>
                <w:color w:val="000000"/>
                <w:spacing w:val="0"/>
                <w:sz w:val="20"/>
                <w:szCs w:val="20"/>
                <w:bdr w:val="none" w:color="auto" w:sz="0" w:space="0"/>
              </w:rPr>
              <w:t>已向人民法院申请破产清算暂未受理，其中质押的债权金额为17,615,740.00元。</w:t>
            </w:r>
          </w:p>
        </w:tc>
      </w:tr>
      <w:tr w14:paraId="5232B4F1">
        <w:tblPrEx>
          <w:tblBorders>
            <w:top w:val="single" w:color="DCDCDC" w:sz="6" w:space="0"/>
            <w:left w:val="single" w:color="DCDCDC" w:sz="6" w:space="0"/>
            <w:bottom w:val="single" w:color="DCDCDC" w:sz="6" w:space="0"/>
            <w:right w:val="single" w:color="DCDCDC" w:sz="6" w:space="0"/>
            <w:insideH w:val="none" w:color="auto" w:sz="0" w:space="0"/>
            <w:insideV w:val="none" w:color="auto" w:sz="0" w:space="0"/>
          </w:tblBorders>
          <w:tblCellMar>
            <w:top w:w="15" w:type="dxa"/>
            <w:left w:w="15" w:type="dxa"/>
            <w:bottom w:w="15" w:type="dxa"/>
            <w:right w:w="15" w:type="dxa"/>
          </w:tblCellMar>
        </w:tblPrEx>
        <w:trPr>
          <w:trHeight w:val="780" w:hRule="atLeast"/>
        </w:trPr>
        <w:tc>
          <w:tcPr>
            <w:tcW w:w="566" w:type="dxa"/>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55DE46B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Helvetica" w:hAnsi="Helvetica" w:eastAsia="Helvetica" w:cs="Helvetica"/>
                <w:i w:val="0"/>
                <w:iCs w:val="0"/>
                <w:caps w:val="0"/>
                <w:color w:val="000000"/>
                <w:spacing w:val="0"/>
                <w:sz w:val="21"/>
                <w:szCs w:val="21"/>
                <w:bdr w:val="none" w:color="auto" w:sz="0" w:space="0"/>
              </w:rPr>
              <w:t>3</w:t>
            </w:r>
          </w:p>
        </w:tc>
        <w:tc>
          <w:tcPr>
            <w:tcW w:w="3050" w:type="dxa"/>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2251A74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center"/>
            </w:pPr>
            <w:r>
              <w:rPr>
                <w:rFonts w:hint="default" w:ascii="Helvetica" w:hAnsi="Helvetica" w:eastAsia="Helvetica" w:cs="Helvetica"/>
                <w:i w:val="0"/>
                <w:iCs w:val="0"/>
                <w:caps w:val="0"/>
                <w:color w:val="000000"/>
                <w:spacing w:val="0"/>
                <w:sz w:val="20"/>
                <w:szCs w:val="20"/>
                <w:bdr w:val="none" w:color="auto" w:sz="0" w:space="0"/>
              </w:rPr>
              <w:t>华阳中远（天津）实业集团有限公司</w:t>
            </w:r>
          </w:p>
        </w:tc>
        <w:tc>
          <w:tcPr>
            <w:tcW w:w="1863" w:type="dxa"/>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2747005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Helvetica" w:hAnsi="Helvetica" w:eastAsia="Helvetica" w:cs="Helvetica"/>
                <w:i w:val="0"/>
                <w:iCs w:val="0"/>
                <w:caps w:val="0"/>
                <w:color w:val="000000"/>
                <w:spacing w:val="0"/>
                <w:sz w:val="18"/>
                <w:szCs w:val="18"/>
                <w:bdr w:val="none" w:color="auto" w:sz="0" w:space="0"/>
              </w:rPr>
              <w:t>2,000,000.00</w:t>
            </w:r>
          </w:p>
        </w:tc>
        <w:tc>
          <w:tcPr>
            <w:tcW w:w="1812" w:type="dxa"/>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3D6DC17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Helvetica" w:hAnsi="Helvetica" w:eastAsia="Helvetica" w:cs="Helvetica"/>
                <w:i w:val="0"/>
                <w:iCs w:val="0"/>
                <w:caps w:val="0"/>
                <w:color w:val="000000"/>
                <w:spacing w:val="0"/>
                <w:sz w:val="18"/>
                <w:szCs w:val="18"/>
                <w:bdr w:val="none" w:color="auto" w:sz="0" w:space="0"/>
              </w:rPr>
              <w:t>2,000,000.00</w:t>
            </w:r>
          </w:p>
        </w:tc>
        <w:tc>
          <w:tcPr>
            <w:tcW w:w="2738" w:type="dxa"/>
            <w:vMerge w:val="continue"/>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49F6C495">
            <w:pPr>
              <w:rPr>
                <w:rFonts w:hint="default" w:ascii="Helvetica" w:hAnsi="Helvetica" w:eastAsia="Helvetica" w:cs="Helvetica"/>
                <w:i w:val="0"/>
                <w:iCs w:val="0"/>
                <w:caps w:val="0"/>
                <w:color w:val="666666"/>
                <w:spacing w:val="0"/>
                <w:sz w:val="21"/>
                <w:szCs w:val="21"/>
              </w:rPr>
            </w:pPr>
          </w:p>
        </w:tc>
      </w:tr>
      <w:tr w14:paraId="41E67D68">
        <w:tblPrEx>
          <w:tblBorders>
            <w:top w:val="single" w:color="DCDCDC" w:sz="6" w:space="0"/>
            <w:left w:val="single" w:color="DCDCDC" w:sz="6" w:space="0"/>
            <w:bottom w:val="single" w:color="DCDCDC" w:sz="6" w:space="0"/>
            <w:right w:val="single" w:color="DCDCDC" w:sz="6" w:space="0"/>
            <w:insideH w:val="none" w:color="auto" w:sz="0" w:space="0"/>
            <w:insideV w:val="none" w:color="auto" w:sz="0" w:space="0"/>
          </w:tblBorders>
          <w:tblCellMar>
            <w:top w:w="15" w:type="dxa"/>
            <w:left w:w="15" w:type="dxa"/>
            <w:bottom w:w="15" w:type="dxa"/>
            <w:right w:w="15" w:type="dxa"/>
          </w:tblCellMar>
        </w:tblPrEx>
        <w:trPr>
          <w:trHeight w:val="520" w:hRule="atLeast"/>
        </w:trPr>
        <w:tc>
          <w:tcPr>
            <w:tcW w:w="566" w:type="dxa"/>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5902205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Helvetica" w:hAnsi="Helvetica" w:eastAsia="Helvetica" w:cs="Helvetica"/>
                <w:i w:val="0"/>
                <w:iCs w:val="0"/>
                <w:caps w:val="0"/>
                <w:color w:val="000000"/>
                <w:spacing w:val="0"/>
                <w:sz w:val="21"/>
                <w:szCs w:val="21"/>
                <w:bdr w:val="none" w:color="auto" w:sz="0" w:space="0"/>
              </w:rPr>
              <w:t>4</w:t>
            </w:r>
          </w:p>
        </w:tc>
        <w:tc>
          <w:tcPr>
            <w:tcW w:w="3050" w:type="dxa"/>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228F4C4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center"/>
            </w:pPr>
            <w:r>
              <w:rPr>
                <w:rFonts w:hint="default" w:ascii="Helvetica" w:hAnsi="Helvetica" w:eastAsia="Helvetica" w:cs="Helvetica"/>
                <w:i w:val="0"/>
                <w:iCs w:val="0"/>
                <w:caps w:val="0"/>
                <w:color w:val="000000"/>
                <w:spacing w:val="0"/>
                <w:sz w:val="20"/>
                <w:szCs w:val="20"/>
                <w:bdr w:val="none" w:color="auto" w:sz="0" w:space="0"/>
              </w:rPr>
              <w:t>中国华阳投资控股有限公司</w:t>
            </w:r>
          </w:p>
        </w:tc>
        <w:tc>
          <w:tcPr>
            <w:tcW w:w="1863" w:type="dxa"/>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409525E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Helvetica" w:hAnsi="Helvetica" w:eastAsia="Helvetica" w:cs="Helvetica"/>
                <w:i w:val="0"/>
                <w:iCs w:val="0"/>
                <w:caps w:val="0"/>
                <w:color w:val="000000"/>
                <w:spacing w:val="0"/>
                <w:sz w:val="18"/>
                <w:szCs w:val="18"/>
                <w:bdr w:val="none" w:color="auto" w:sz="0" w:space="0"/>
              </w:rPr>
              <w:t>24,000,000.00</w:t>
            </w:r>
          </w:p>
        </w:tc>
        <w:tc>
          <w:tcPr>
            <w:tcW w:w="1812" w:type="dxa"/>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3A343EB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Helvetica" w:hAnsi="Helvetica" w:eastAsia="Helvetica" w:cs="Helvetica"/>
                <w:i w:val="0"/>
                <w:iCs w:val="0"/>
                <w:caps w:val="0"/>
                <w:color w:val="000000"/>
                <w:spacing w:val="0"/>
                <w:sz w:val="18"/>
                <w:szCs w:val="18"/>
                <w:bdr w:val="none" w:color="auto" w:sz="0" w:space="0"/>
              </w:rPr>
              <w:t>24,000,000.00</w:t>
            </w:r>
          </w:p>
        </w:tc>
        <w:tc>
          <w:tcPr>
            <w:tcW w:w="2738" w:type="dxa"/>
            <w:vMerge w:val="restart"/>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28E1A94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center"/>
            </w:pPr>
            <w:r>
              <w:rPr>
                <w:rFonts w:hint="default" w:ascii="Helvetica" w:hAnsi="Helvetica" w:eastAsia="Helvetica" w:cs="Helvetica"/>
                <w:i w:val="0"/>
                <w:iCs w:val="0"/>
                <w:caps w:val="0"/>
                <w:color w:val="000000"/>
                <w:spacing w:val="0"/>
                <w:sz w:val="20"/>
                <w:szCs w:val="20"/>
                <w:bdr w:val="none" w:color="auto" w:sz="0" w:space="0"/>
              </w:rPr>
              <w:t>已向华阳管理人申报债权。</w:t>
            </w:r>
          </w:p>
        </w:tc>
      </w:tr>
      <w:tr w14:paraId="4EBC5160">
        <w:tblPrEx>
          <w:tblBorders>
            <w:top w:val="single" w:color="DCDCDC" w:sz="6" w:space="0"/>
            <w:left w:val="single" w:color="DCDCDC" w:sz="6" w:space="0"/>
            <w:bottom w:val="single" w:color="DCDCDC" w:sz="6" w:space="0"/>
            <w:right w:val="single" w:color="DCDCDC" w:sz="6" w:space="0"/>
            <w:insideH w:val="none" w:color="auto" w:sz="0" w:space="0"/>
            <w:insideV w:val="none" w:color="auto" w:sz="0" w:space="0"/>
          </w:tblBorders>
          <w:tblCellMar>
            <w:top w:w="15" w:type="dxa"/>
            <w:left w:w="15" w:type="dxa"/>
            <w:bottom w:w="15" w:type="dxa"/>
            <w:right w:w="15" w:type="dxa"/>
          </w:tblCellMar>
        </w:tblPrEx>
        <w:trPr>
          <w:trHeight w:val="780" w:hRule="atLeast"/>
        </w:trPr>
        <w:tc>
          <w:tcPr>
            <w:tcW w:w="566" w:type="dxa"/>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4F42D57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Helvetica" w:hAnsi="Helvetica" w:eastAsia="Helvetica" w:cs="Helvetica"/>
                <w:i w:val="0"/>
                <w:iCs w:val="0"/>
                <w:caps w:val="0"/>
                <w:color w:val="000000"/>
                <w:spacing w:val="0"/>
                <w:sz w:val="21"/>
                <w:szCs w:val="21"/>
                <w:bdr w:val="none" w:color="auto" w:sz="0" w:space="0"/>
              </w:rPr>
              <w:t>5</w:t>
            </w:r>
          </w:p>
        </w:tc>
        <w:tc>
          <w:tcPr>
            <w:tcW w:w="3050" w:type="dxa"/>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5E5CB9A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center"/>
            </w:pPr>
            <w:r>
              <w:rPr>
                <w:rFonts w:hint="default" w:ascii="Helvetica" w:hAnsi="Helvetica" w:eastAsia="Helvetica" w:cs="Helvetica"/>
                <w:i w:val="0"/>
                <w:iCs w:val="0"/>
                <w:caps w:val="0"/>
                <w:color w:val="000000"/>
                <w:spacing w:val="0"/>
                <w:sz w:val="20"/>
                <w:szCs w:val="20"/>
                <w:bdr w:val="none" w:color="auto" w:sz="0" w:space="0"/>
              </w:rPr>
              <w:t>深圳市华荣丰实业（集团）有限公司</w:t>
            </w:r>
          </w:p>
        </w:tc>
        <w:tc>
          <w:tcPr>
            <w:tcW w:w="1863" w:type="dxa"/>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4B26FCA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Helvetica" w:hAnsi="Helvetica" w:eastAsia="Helvetica" w:cs="Helvetica"/>
                <w:i w:val="0"/>
                <w:iCs w:val="0"/>
                <w:caps w:val="0"/>
                <w:color w:val="000000"/>
                <w:spacing w:val="0"/>
                <w:sz w:val="18"/>
                <w:szCs w:val="18"/>
                <w:bdr w:val="none" w:color="auto" w:sz="0" w:space="0"/>
              </w:rPr>
              <w:t>47,000,000.00</w:t>
            </w:r>
          </w:p>
        </w:tc>
        <w:tc>
          <w:tcPr>
            <w:tcW w:w="1812" w:type="dxa"/>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45B69EE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Helvetica" w:hAnsi="Helvetica" w:eastAsia="Helvetica" w:cs="Helvetica"/>
                <w:i w:val="0"/>
                <w:iCs w:val="0"/>
                <w:caps w:val="0"/>
                <w:color w:val="000000"/>
                <w:spacing w:val="0"/>
                <w:sz w:val="18"/>
                <w:szCs w:val="18"/>
                <w:bdr w:val="none" w:color="auto" w:sz="0" w:space="0"/>
              </w:rPr>
              <w:t>47,000,000.00</w:t>
            </w:r>
          </w:p>
        </w:tc>
        <w:tc>
          <w:tcPr>
            <w:tcW w:w="2738" w:type="dxa"/>
            <w:vMerge w:val="continue"/>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787C1E3B">
            <w:pPr>
              <w:rPr>
                <w:rFonts w:hint="default" w:ascii="Helvetica" w:hAnsi="Helvetica" w:eastAsia="Helvetica" w:cs="Helvetica"/>
                <w:i w:val="0"/>
                <w:iCs w:val="0"/>
                <w:caps w:val="0"/>
                <w:color w:val="666666"/>
                <w:spacing w:val="0"/>
                <w:sz w:val="21"/>
                <w:szCs w:val="21"/>
              </w:rPr>
            </w:pPr>
          </w:p>
        </w:tc>
      </w:tr>
      <w:tr w14:paraId="3A665502">
        <w:tblPrEx>
          <w:tblBorders>
            <w:top w:val="single" w:color="DCDCDC" w:sz="6" w:space="0"/>
            <w:left w:val="single" w:color="DCDCDC" w:sz="6" w:space="0"/>
            <w:bottom w:val="single" w:color="DCDCDC" w:sz="6" w:space="0"/>
            <w:right w:val="single" w:color="DCDCDC" w:sz="6" w:space="0"/>
            <w:insideH w:val="none" w:color="auto" w:sz="0" w:space="0"/>
            <w:insideV w:val="none" w:color="auto" w:sz="0" w:space="0"/>
          </w:tblBorders>
          <w:tblCellMar>
            <w:top w:w="15" w:type="dxa"/>
            <w:left w:w="15" w:type="dxa"/>
            <w:bottom w:w="15" w:type="dxa"/>
            <w:right w:w="15" w:type="dxa"/>
          </w:tblCellMar>
        </w:tblPrEx>
        <w:trPr>
          <w:trHeight w:val="520" w:hRule="atLeast"/>
        </w:trPr>
        <w:tc>
          <w:tcPr>
            <w:tcW w:w="566" w:type="dxa"/>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19E83BB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Helvetica" w:hAnsi="Helvetica" w:eastAsia="Helvetica" w:cs="Helvetica"/>
                <w:i w:val="0"/>
                <w:iCs w:val="0"/>
                <w:caps w:val="0"/>
                <w:color w:val="000000"/>
                <w:spacing w:val="0"/>
                <w:sz w:val="21"/>
                <w:szCs w:val="21"/>
                <w:bdr w:val="none" w:color="auto" w:sz="0" w:space="0"/>
              </w:rPr>
              <w:t>6</w:t>
            </w:r>
          </w:p>
        </w:tc>
        <w:tc>
          <w:tcPr>
            <w:tcW w:w="3050" w:type="dxa"/>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1184121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center"/>
            </w:pPr>
            <w:r>
              <w:rPr>
                <w:rFonts w:hint="default" w:ascii="Helvetica" w:hAnsi="Helvetica" w:eastAsia="Helvetica" w:cs="Helvetica"/>
                <w:i w:val="0"/>
                <w:iCs w:val="0"/>
                <w:caps w:val="0"/>
                <w:color w:val="000000"/>
                <w:spacing w:val="0"/>
                <w:sz w:val="20"/>
                <w:szCs w:val="20"/>
                <w:bdr w:val="none" w:color="auto" w:sz="0" w:space="0"/>
              </w:rPr>
              <w:t>深圳华阳金控投资管理有限公司</w:t>
            </w:r>
          </w:p>
        </w:tc>
        <w:tc>
          <w:tcPr>
            <w:tcW w:w="1863" w:type="dxa"/>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4B50C02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Helvetica" w:hAnsi="Helvetica" w:eastAsia="Helvetica" w:cs="Helvetica"/>
                <w:i w:val="0"/>
                <w:iCs w:val="0"/>
                <w:caps w:val="0"/>
                <w:color w:val="000000"/>
                <w:spacing w:val="0"/>
                <w:sz w:val="18"/>
                <w:szCs w:val="18"/>
                <w:bdr w:val="none" w:color="auto" w:sz="0" w:space="0"/>
              </w:rPr>
              <w:t>10,000,000.00</w:t>
            </w:r>
          </w:p>
        </w:tc>
        <w:tc>
          <w:tcPr>
            <w:tcW w:w="1812" w:type="dxa"/>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28B7CB3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Helvetica" w:hAnsi="Helvetica" w:eastAsia="Helvetica" w:cs="Helvetica"/>
                <w:i w:val="0"/>
                <w:iCs w:val="0"/>
                <w:caps w:val="0"/>
                <w:color w:val="000000"/>
                <w:spacing w:val="0"/>
                <w:sz w:val="18"/>
                <w:szCs w:val="18"/>
                <w:bdr w:val="none" w:color="auto" w:sz="0" w:space="0"/>
              </w:rPr>
              <w:t>10,000,000.00</w:t>
            </w:r>
          </w:p>
        </w:tc>
        <w:tc>
          <w:tcPr>
            <w:tcW w:w="2738" w:type="dxa"/>
            <w:vMerge w:val="continue"/>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0337CBC9">
            <w:pPr>
              <w:rPr>
                <w:rFonts w:hint="default" w:ascii="Helvetica" w:hAnsi="Helvetica" w:eastAsia="Helvetica" w:cs="Helvetica"/>
                <w:i w:val="0"/>
                <w:iCs w:val="0"/>
                <w:caps w:val="0"/>
                <w:color w:val="666666"/>
                <w:spacing w:val="0"/>
                <w:sz w:val="21"/>
                <w:szCs w:val="21"/>
              </w:rPr>
            </w:pPr>
          </w:p>
        </w:tc>
      </w:tr>
      <w:tr w14:paraId="76919D1A">
        <w:tblPrEx>
          <w:tblBorders>
            <w:top w:val="single" w:color="DCDCDC" w:sz="6" w:space="0"/>
            <w:left w:val="single" w:color="DCDCDC" w:sz="6" w:space="0"/>
            <w:bottom w:val="single" w:color="DCDCDC" w:sz="6" w:space="0"/>
            <w:right w:val="single" w:color="DCDCDC" w:sz="6" w:space="0"/>
            <w:insideH w:val="none" w:color="auto" w:sz="0" w:space="0"/>
            <w:insideV w:val="none" w:color="auto" w:sz="0" w:space="0"/>
          </w:tblBorders>
          <w:tblCellMar>
            <w:top w:w="15" w:type="dxa"/>
            <w:left w:w="15" w:type="dxa"/>
            <w:bottom w:w="15" w:type="dxa"/>
            <w:right w:w="15" w:type="dxa"/>
          </w:tblCellMar>
        </w:tblPrEx>
        <w:trPr>
          <w:trHeight w:val="1160" w:hRule="atLeast"/>
        </w:trPr>
        <w:tc>
          <w:tcPr>
            <w:tcW w:w="566" w:type="dxa"/>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280B68E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Helvetica" w:hAnsi="Helvetica" w:eastAsia="Helvetica" w:cs="Helvetica"/>
                <w:i w:val="0"/>
                <w:iCs w:val="0"/>
                <w:caps w:val="0"/>
                <w:color w:val="000000"/>
                <w:spacing w:val="0"/>
                <w:sz w:val="21"/>
                <w:szCs w:val="21"/>
                <w:bdr w:val="none" w:color="auto" w:sz="0" w:space="0"/>
              </w:rPr>
              <w:t>7</w:t>
            </w:r>
          </w:p>
        </w:tc>
        <w:tc>
          <w:tcPr>
            <w:tcW w:w="3050" w:type="dxa"/>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29A3195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center"/>
            </w:pPr>
            <w:r>
              <w:rPr>
                <w:rFonts w:hint="default" w:ascii="Helvetica" w:hAnsi="Helvetica" w:eastAsia="Helvetica" w:cs="Helvetica"/>
                <w:i w:val="0"/>
                <w:iCs w:val="0"/>
                <w:caps w:val="0"/>
                <w:color w:val="000000"/>
                <w:spacing w:val="0"/>
                <w:sz w:val="20"/>
                <w:szCs w:val="20"/>
                <w:bdr w:val="none" w:color="auto" w:sz="0" w:space="0"/>
              </w:rPr>
              <w:t>珠海市华峰石化有限公司（重整执行程序）</w:t>
            </w:r>
          </w:p>
        </w:tc>
        <w:tc>
          <w:tcPr>
            <w:tcW w:w="1863" w:type="dxa"/>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0DB5FE1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Helvetica" w:hAnsi="Helvetica" w:eastAsia="Helvetica" w:cs="Helvetica"/>
                <w:i w:val="0"/>
                <w:iCs w:val="0"/>
                <w:caps w:val="0"/>
                <w:color w:val="000000"/>
                <w:spacing w:val="0"/>
                <w:sz w:val="18"/>
                <w:szCs w:val="18"/>
                <w:bdr w:val="none" w:color="auto" w:sz="0" w:space="0"/>
              </w:rPr>
              <w:t>175,487,972.31</w:t>
            </w:r>
          </w:p>
        </w:tc>
        <w:tc>
          <w:tcPr>
            <w:tcW w:w="1812" w:type="dxa"/>
            <w:vMerge w:val="restart"/>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06D0DCC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Helvetica" w:hAnsi="Helvetica" w:eastAsia="Helvetica" w:cs="Helvetica"/>
                <w:i w:val="0"/>
                <w:iCs w:val="0"/>
                <w:caps w:val="0"/>
                <w:color w:val="000000"/>
                <w:spacing w:val="0"/>
                <w:sz w:val="18"/>
                <w:szCs w:val="18"/>
                <w:bdr w:val="none" w:color="auto" w:sz="0" w:space="0"/>
              </w:rPr>
              <w:t>274,681,263.27</w:t>
            </w:r>
          </w:p>
        </w:tc>
        <w:tc>
          <w:tcPr>
            <w:tcW w:w="2738" w:type="dxa"/>
            <w:vMerge w:val="restart"/>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5850996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center"/>
            </w:pPr>
            <w:r>
              <w:rPr>
                <w:rFonts w:hint="eastAsia" w:ascii="宋体" w:hAnsi="宋体" w:eastAsia="宋体" w:cs="宋体"/>
                <w:i w:val="0"/>
                <w:iCs w:val="0"/>
                <w:caps w:val="0"/>
                <w:color w:val="000000"/>
                <w:spacing w:val="0"/>
                <w:sz w:val="20"/>
                <w:szCs w:val="20"/>
                <w:bdr w:val="none" w:color="auto" w:sz="0" w:space="0"/>
              </w:rPr>
              <w:t>五矿在华峰石化的总债权金额为283,233,535.23元（本金+利息），其中质押的债权为236,265,936.24元，占整笔债权比例为84.32%。</w:t>
            </w:r>
          </w:p>
        </w:tc>
      </w:tr>
      <w:tr w14:paraId="2BAA83A9">
        <w:tblPrEx>
          <w:tblBorders>
            <w:top w:val="single" w:color="DCDCDC" w:sz="6" w:space="0"/>
            <w:left w:val="single" w:color="DCDCDC" w:sz="6" w:space="0"/>
            <w:bottom w:val="single" w:color="DCDCDC" w:sz="6" w:space="0"/>
            <w:right w:val="single" w:color="DCDCDC" w:sz="6" w:space="0"/>
            <w:insideH w:val="none" w:color="auto" w:sz="0" w:space="0"/>
            <w:insideV w:val="none" w:color="auto" w:sz="0" w:space="0"/>
          </w:tblBorders>
          <w:tblCellMar>
            <w:top w:w="15" w:type="dxa"/>
            <w:left w:w="15" w:type="dxa"/>
            <w:bottom w:w="15" w:type="dxa"/>
            <w:right w:w="15" w:type="dxa"/>
          </w:tblCellMar>
        </w:tblPrEx>
        <w:trPr>
          <w:trHeight w:val="980" w:hRule="atLeast"/>
        </w:trPr>
        <w:tc>
          <w:tcPr>
            <w:tcW w:w="566" w:type="dxa"/>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5FB666C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Helvetica" w:hAnsi="Helvetica" w:eastAsia="Helvetica" w:cs="Helvetica"/>
                <w:i w:val="0"/>
                <w:iCs w:val="0"/>
                <w:caps w:val="0"/>
                <w:color w:val="000000"/>
                <w:spacing w:val="0"/>
                <w:sz w:val="21"/>
                <w:szCs w:val="21"/>
                <w:bdr w:val="none" w:color="auto" w:sz="0" w:space="0"/>
              </w:rPr>
              <w:t>8</w:t>
            </w:r>
          </w:p>
        </w:tc>
        <w:tc>
          <w:tcPr>
            <w:tcW w:w="3050" w:type="dxa"/>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0B1A040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center"/>
            </w:pPr>
            <w:r>
              <w:rPr>
                <w:rFonts w:hint="default" w:ascii="Helvetica" w:hAnsi="Helvetica" w:eastAsia="Helvetica" w:cs="Helvetica"/>
                <w:i w:val="0"/>
                <w:iCs w:val="0"/>
                <w:caps w:val="0"/>
                <w:color w:val="000000"/>
                <w:spacing w:val="0"/>
                <w:sz w:val="20"/>
                <w:szCs w:val="20"/>
                <w:bdr w:val="none" w:color="auto" w:sz="0" w:space="0"/>
              </w:rPr>
              <w:t>华阳国际产业投资集团有限公司</w:t>
            </w:r>
          </w:p>
        </w:tc>
        <w:tc>
          <w:tcPr>
            <w:tcW w:w="1863" w:type="dxa"/>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3400CA8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Helvetica" w:hAnsi="Helvetica" w:eastAsia="Helvetica" w:cs="Helvetica"/>
                <w:i w:val="0"/>
                <w:iCs w:val="0"/>
                <w:caps w:val="0"/>
                <w:color w:val="000000"/>
                <w:spacing w:val="0"/>
                <w:sz w:val="18"/>
                <w:szCs w:val="18"/>
                <w:bdr w:val="none" w:color="auto" w:sz="0" w:space="0"/>
              </w:rPr>
              <w:t>40,001,603.33</w:t>
            </w:r>
          </w:p>
        </w:tc>
        <w:tc>
          <w:tcPr>
            <w:tcW w:w="1812" w:type="dxa"/>
            <w:vMerge w:val="continue"/>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5A33702C">
            <w:pPr>
              <w:rPr>
                <w:rFonts w:hint="default" w:ascii="Helvetica" w:hAnsi="Helvetica" w:eastAsia="Helvetica" w:cs="Helvetica"/>
                <w:i w:val="0"/>
                <w:iCs w:val="0"/>
                <w:caps w:val="0"/>
                <w:color w:val="666666"/>
                <w:spacing w:val="0"/>
                <w:sz w:val="21"/>
                <w:szCs w:val="21"/>
              </w:rPr>
            </w:pPr>
          </w:p>
        </w:tc>
        <w:tc>
          <w:tcPr>
            <w:tcW w:w="2738" w:type="dxa"/>
            <w:vMerge w:val="continue"/>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457E15FB">
            <w:pPr>
              <w:rPr>
                <w:rFonts w:hint="default" w:ascii="Helvetica" w:hAnsi="Helvetica" w:eastAsia="Helvetica" w:cs="Helvetica"/>
                <w:i w:val="0"/>
                <w:iCs w:val="0"/>
                <w:caps w:val="0"/>
                <w:color w:val="666666"/>
                <w:spacing w:val="0"/>
                <w:sz w:val="21"/>
                <w:szCs w:val="21"/>
              </w:rPr>
            </w:pPr>
          </w:p>
        </w:tc>
      </w:tr>
      <w:tr w14:paraId="014FF9D4">
        <w:tblPrEx>
          <w:tblBorders>
            <w:top w:val="single" w:color="DCDCDC" w:sz="6" w:space="0"/>
            <w:left w:val="single" w:color="DCDCDC" w:sz="6" w:space="0"/>
            <w:bottom w:val="single" w:color="DCDCDC" w:sz="6" w:space="0"/>
            <w:right w:val="single" w:color="DCDCDC" w:sz="6" w:space="0"/>
            <w:insideH w:val="none" w:color="auto" w:sz="0" w:space="0"/>
            <w:insideV w:val="none" w:color="auto" w:sz="0" w:space="0"/>
          </w:tblBorders>
          <w:shd w:val="clear"/>
          <w:tblCellMar>
            <w:top w:w="15" w:type="dxa"/>
            <w:left w:w="15" w:type="dxa"/>
            <w:bottom w:w="15" w:type="dxa"/>
            <w:right w:w="15" w:type="dxa"/>
          </w:tblCellMar>
        </w:tblPrEx>
        <w:trPr>
          <w:trHeight w:val="982" w:hRule="atLeast"/>
        </w:trPr>
        <w:tc>
          <w:tcPr>
            <w:tcW w:w="566" w:type="dxa"/>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63F9A63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Helvetica" w:hAnsi="Helvetica" w:eastAsia="Helvetica" w:cs="Helvetica"/>
                <w:i w:val="0"/>
                <w:iCs w:val="0"/>
                <w:caps w:val="0"/>
                <w:color w:val="000000"/>
                <w:spacing w:val="0"/>
                <w:sz w:val="21"/>
                <w:szCs w:val="21"/>
                <w:bdr w:val="none" w:color="auto" w:sz="0" w:space="0"/>
              </w:rPr>
              <w:t>9</w:t>
            </w:r>
          </w:p>
        </w:tc>
        <w:tc>
          <w:tcPr>
            <w:tcW w:w="3050" w:type="dxa"/>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0F305A3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center"/>
            </w:pPr>
            <w:r>
              <w:rPr>
                <w:rFonts w:hint="default" w:ascii="Helvetica" w:hAnsi="Helvetica" w:eastAsia="Helvetica" w:cs="Helvetica"/>
                <w:i w:val="0"/>
                <w:iCs w:val="0"/>
                <w:caps w:val="0"/>
                <w:color w:val="000000"/>
                <w:spacing w:val="0"/>
                <w:sz w:val="20"/>
                <w:szCs w:val="20"/>
                <w:bdr w:val="none" w:color="auto" w:sz="0" w:space="0"/>
              </w:rPr>
              <w:t>南昌荣建实业有限公司</w:t>
            </w:r>
          </w:p>
        </w:tc>
        <w:tc>
          <w:tcPr>
            <w:tcW w:w="1863" w:type="dxa"/>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38B8D7E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Helvetica" w:hAnsi="Helvetica" w:eastAsia="Helvetica" w:cs="Helvetica"/>
                <w:i w:val="0"/>
                <w:iCs w:val="0"/>
                <w:caps w:val="0"/>
                <w:color w:val="000000"/>
                <w:spacing w:val="0"/>
                <w:sz w:val="18"/>
                <w:szCs w:val="18"/>
                <w:bdr w:val="none" w:color="auto" w:sz="0" w:space="0"/>
              </w:rPr>
              <w:t>19,000,000.00</w:t>
            </w:r>
          </w:p>
        </w:tc>
        <w:tc>
          <w:tcPr>
            <w:tcW w:w="1812" w:type="dxa"/>
            <w:vMerge w:val="continue"/>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6961AC46">
            <w:pPr>
              <w:rPr>
                <w:rFonts w:hint="default" w:ascii="Helvetica" w:hAnsi="Helvetica" w:eastAsia="Helvetica" w:cs="Helvetica"/>
                <w:i w:val="0"/>
                <w:iCs w:val="0"/>
                <w:caps w:val="0"/>
                <w:color w:val="666666"/>
                <w:spacing w:val="0"/>
                <w:sz w:val="21"/>
                <w:szCs w:val="21"/>
              </w:rPr>
            </w:pPr>
          </w:p>
        </w:tc>
        <w:tc>
          <w:tcPr>
            <w:tcW w:w="2738" w:type="dxa"/>
            <w:vMerge w:val="continue"/>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158A1D8C">
            <w:pPr>
              <w:rPr>
                <w:rFonts w:hint="default" w:ascii="Helvetica" w:hAnsi="Helvetica" w:eastAsia="Helvetica" w:cs="Helvetica"/>
                <w:i w:val="0"/>
                <w:iCs w:val="0"/>
                <w:caps w:val="0"/>
                <w:color w:val="666666"/>
                <w:spacing w:val="0"/>
                <w:sz w:val="21"/>
                <w:szCs w:val="21"/>
              </w:rPr>
            </w:pPr>
          </w:p>
        </w:tc>
      </w:tr>
      <w:tr w14:paraId="64048AF5">
        <w:tblPrEx>
          <w:tblBorders>
            <w:top w:val="single" w:color="DCDCDC" w:sz="6" w:space="0"/>
            <w:left w:val="single" w:color="DCDCDC" w:sz="6" w:space="0"/>
            <w:bottom w:val="single" w:color="DCDCDC" w:sz="6" w:space="0"/>
            <w:right w:val="single" w:color="DCDCDC" w:sz="6" w:space="0"/>
            <w:insideH w:val="none" w:color="auto" w:sz="0" w:space="0"/>
            <w:insideV w:val="none" w:color="auto" w:sz="0" w:space="0"/>
          </w:tblBorders>
          <w:shd w:val="clear"/>
          <w:tblCellMar>
            <w:top w:w="15" w:type="dxa"/>
            <w:left w:w="15" w:type="dxa"/>
            <w:bottom w:w="15" w:type="dxa"/>
            <w:right w:w="15" w:type="dxa"/>
          </w:tblCellMar>
        </w:tblPrEx>
        <w:trPr>
          <w:trHeight w:val="420" w:hRule="atLeast"/>
        </w:trPr>
        <w:tc>
          <w:tcPr>
            <w:tcW w:w="566" w:type="dxa"/>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55C49FD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center"/>
            </w:pPr>
            <w:r>
              <w:rPr>
                <w:rFonts w:hint="default" w:ascii="Helvetica" w:hAnsi="Helvetica" w:eastAsia="Helvetica" w:cs="Helvetica"/>
                <w:b/>
                <w:bCs/>
                <w:i w:val="0"/>
                <w:iCs w:val="0"/>
                <w:caps w:val="0"/>
                <w:color w:val="000000"/>
                <w:spacing w:val="0"/>
                <w:sz w:val="21"/>
                <w:szCs w:val="21"/>
                <w:bdr w:val="none" w:color="auto" w:sz="0" w:space="0"/>
              </w:rPr>
              <w:t> </w:t>
            </w:r>
          </w:p>
        </w:tc>
        <w:tc>
          <w:tcPr>
            <w:tcW w:w="3050" w:type="dxa"/>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6353B72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Helvetica" w:hAnsi="Helvetica" w:eastAsia="Helvetica" w:cs="Helvetica"/>
                <w:b/>
                <w:bCs/>
                <w:i w:val="0"/>
                <w:iCs w:val="0"/>
                <w:caps w:val="0"/>
                <w:color w:val="000000"/>
                <w:spacing w:val="0"/>
                <w:sz w:val="21"/>
                <w:szCs w:val="21"/>
                <w:bdr w:val="none" w:color="auto" w:sz="0" w:space="0"/>
              </w:rPr>
              <w:t>合计</w:t>
            </w:r>
          </w:p>
        </w:tc>
        <w:tc>
          <w:tcPr>
            <w:tcW w:w="1863" w:type="dxa"/>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081E535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Helvetica" w:hAnsi="Helvetica" w:eastAsia="Helvetica" w:cs="Helvetica"/>
                <w:b/>
                <w:bCs/>
                <w:i w:val="0"/>
                <w:iCs w:val="0"/>
                <w:caps w:val="0"/>
                <w:color w:val="000000"/>
                <w:spacing w:val="0"/>
                <w:sz w:val="21"/>
                <w:szCs w:val="21"/>
                <w:bdr w:val="none" w:color="auto" w:sz="0" w:space="0"/>
              </w:rPr>
              <w:t>458,132,484.03</w:t>
            </w:r>
          </w:p>
        </w:tc>
        <w:tc>
          <w:tcPr>
            <w:tcW w:w="1812" w:type="dxa"/>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60EF23C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Helvetica" w:hAnsi="Helvetica" w:eastAsia="Helvetica" w:cs="Helvetica"/>
                <w:b/>
                <w:bCs/>
                <w:i w:val="0"/>
                <w:iCs w:val="0"/>
                <w:caps w:val="0"/>
                <w:color w:val="000000"/>
                <w:spacing w:val="0"/>
                <w:sz w:val="21"/>
                <w:szCs w:val="21"/>
                <w:bdr w:val="none" w:color="auto" w:sz="0" w:space="0"/>
              </w:rPr>
              <w:t>498,324,171.66</w:t>
            </w:r>
          </w:p>
        </w:tc>
        <w:tc>
          <w:tcPr>
            <w:tcW w:w="2738" w:type="dxa"/>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0508367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Helvetica" w:hAnsi="Helvetica" w:eastAsia="Helvetica" w:cs="Helvetica"/>
                <w:b/>
                <w:bCs/>
                <w:i w:val="0"/>
                <w:iCs w:val="0"/>
                <w:caps w:val="0"/>
                <w:color w:val="000000"/>
                <w:spacing w:val="0"/>
                <w:sz w:val="21"/>
                <w:szCs w:val="21"/>
                <w:bdr w:val="none" w:color="auto" w:sz="0" w:space="0"/>
              </w:rPr>
              <w:t> </w:t>
            </w:r>
          </w:p>
        </w:tc>
      </w:tr>
    </w:tbl>
    <w:p w14:paraId="130E56D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FF0000"/>
          <w:spacing w:val="0"/>
          <w:sz w:val="28"/>
          <w:szCs w:val="28"/>
          <w:bdr w:val="none" w:color="auto" w:sz="0" w:space="0"/>
        </w:rPr>
        <w:t> </w:t>
      </w:r>
    </w:p>
    <w:p w14:paraId="7BF99A7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FF0000"/>
          <w:spacing w:val="0"/>
          <w:sz w:val="28"/>
          <w:szCs w:val="28"/>
          <w:bdr w:val="none" w:color="auto" w:sz="0" w:space="0"/>
        </w:rPr>
        <w:t>重要提示：</w:t>
      </w:r>
    </w:p>
    <w:p w14:paraId="7D8D8DA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FF0000"/>
          <w:spacing w:val="0"/>
          <w:sz w:val="28"/>
          <w:szCs w:val="28"/>
          <w:bdr w:val="none" w:color="auto" w:sz="0" w:space="0"/>
          <w:shd w:val="clear" w:fill="FFFF00"/>
        </w:rPr>
        <w:t>瑕疵及风险提示（拍卖标的物可能存在着瑕疵或尚未发现的缺陷，包括但不限于下列一项或多项，请认真阅读！）：</w:t>
      </w:r>
    </w:p>
    <w:p w14:paraId="6D334A4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1、五矿公司对外应收债权（以下简称“标的债权”或“标的物”）系根据五矿公司的审计报告获得，但拍卖标的物可能存在瑕疵或尚未发现的缺陷，包括但不限于下列一项或多项：</w:t>
      </w:r>
    </w:p>
    <w:p w14:paraId="0042555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666666"/>
          <w:spacing w:val="0"/>
          <w:sz w:val="28"/>
          <w:szCs w:val="28"/>
          <w:bdr w:val="none" w:color="auto" w:sz="0" w:space="0"/>
        </w:rPr>
        <w:t>（1）因管理人接管到的五矿公司财务资料不完整，文件、合同等资料缺失，无法提供与债权发生相关的全部原始资料，如合同、发货证明、收货证明等；</w:t>
      </w:r>
    </w:p>
    <w:p w14:paraId="145F05B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666666"/>
          <w:spacing w:val="0"/>
          <w:sz w:val="28"/>
          <w:szCs w:val="28"/>
          <w:bdr w:val="none" w:color="auto" w:sz="0" w:space="0"/>
        </w:rPr>
        <w:t>（2）拍卖标的中的债权户数、金额可能存在全部或部分不准确、不真实，可能与原权利人财务记载不一致的情形，可能存在已被他人收取、被减免、抵销等情形，管理人无法保证拍卖标的金额的准确性；</w:t>
      </w:r>
    </w:p>
    <w:p w14:paraId="5DBBA53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666666"/>
          <w:spacing w:val="0"/>
          <w:sz w:val="28"/>
          <w:szCs w:val="28"/>
          <w:bdr w:val="none" w:color="auto" w:sz="0" w:space="0"/>
        </w:rPr>
        <w:t>（3）标的债权可能存在已超过诉讼时效、丧失相关的法定期间、因其他原因已部分消灭或不能被强制执行、标的债权可能存在未生效、无效或被撤销的情形；</w:t>
      </w:r>
    </w:p>
    <w:p w14:paraId="0466796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666666"/>
          <w:spacing w:val="0"/>
          <w:sz w:val="28"/>
          <w:szCs w:val="28"/>
          <w:bdr w:val="none" w:color="auto" w:sz="0" w:space="0"/>
        </w:rPr>
        <w:t>（4）标的债权的相关文件对于债权权利的行使可能存在主从债权证明文件仅为复印件，或者主从债权证明文件缺失或不完整，导致债权存在争议、无法收回、产生损失等风险；</w:t>
      </w:r>
    </w:p>
    <w:p w14:paraId="2F1EED5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666666"/>
          <w:spacing w:val="0"/>
          <w:sz w:val="28"/>
          <w:szCs w:val="28"/>
          <w:bdr w:val="none" w:color="auto" w:sz="0" w:space="0"/>
        </w:rPr>
        <w:t>（5）标的债权的债务人可能存在与五矿公司互负债务等的情形；</w:t>
      </w:r>
    </w:p>
    <w:p w14:paraId="57A82D3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666666"/>
          <w:spacing w:val="0"/>
          <w:sz w:val="28"/>
          <w:szCs w:val="28"/>
          <w:bdr w:val="none" w:color="auto" w:sz="0" w:space="0"/>
        </w:rPr>
        <w:t>（6）标的债权可能因相关人已达成的相关免责协议导致丧失权利基础；</w:t>
      </w:r>
    </w:p>
    <w:p w14:paraId="175F10E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666666"/>
          <w:spacing w:val="0"/>
          <w:sz w:val="28"/>
          <w:szCs w:val="28"/>
          <w:bdr w:val="none" w:color="auto" w:sz="0" w:space="0"/>
        </w:rPr>
        <w:t>（7）就标的债权提起诉讼可能存在败诉、不能变更诉讼主体、执行主体等诉讼风险；</w:t>
      </w:r>
    </w:p>
    <w:p w14:paraId="7719F50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666666"/>
          <w:spacing w:val="0"/>
          <w:sz w:val="28"/>
          <w:szCs w:val="28"/>
          <w:bdr w:val="none" w:color="auto" w:sz="0" w:space="0"/>
        </w:rPr>
        <w:t>（8）标的债权可能存在已经被管理人、其他债权人或第三人收取的情形或部分对外债权可能已被全部或部分减免、被抵销、被清偿；</w:t>
      </w:r>
    </w:p>
    <w:p w14:paraId="046C387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666666"/>
          <w:spacing w:val="0"/>
          <w:sz w:val="28"/>
          <w:szCs w:val="28"/>
          <w:bdr w:val="none" w:color="auto" w:sz="0" w:space="0"/>
        </w:rPr>
        <w:t>（9）其他已经和/或尚未</w:t>
      </w:r>
      <w:r>
        <w:rPr>
          <w:rFonts w:hint="default" w:ascii="Helvetica" w:hAnsi="Helvetica" w:eastAsia="Helvetica" w:cs="Helvetica"/>
          <w:i w:val="0"/>
          <w:iCs w:val="0"/>
          <w:caps w:val="0"/>
          <w:color w:val="666666"/>
          <w:spacing w:val="0"/>
          <w:sz w:val="24"/>
          <w:szCs w:val="24"/>
          <w:bdr w:val="none" w:color="auto" w:sz="0" w:space="0"/>
        </w:rPr>
        <w:t>发现的可能导致标的债权存在争议、不存在、无法收回、产生损失等风险；</w:t>
      </w:r>
    </w:p>
    <w:p w14:paraId="41BB410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666666"/>
          <w:spacing w:val="0"/>
          <w:sz w:val="28"/>
          <w:szCs w:val="28"/>
          <w:bdr w:val="none" w:color="auto" w:sz="0" w:space="0"/>
        </w:rPr>
        <w:t>（10）标的债权附属的担保或反担保协议本身因违反法律规定而无效或被撤销，担保人或反担保人没有过错或仅承担一部分过错责任；</w:t>
      </w:r>
    </w:p>
    <w:p w14:paraId="530EC4B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666666"/>
          <w:spacing w:val="0"/>
          <w:sz w:val="28"/>
          <w:szCs w:val="28"/>
          <w:bdr w:val="none" w:color="auto" w:sz="0" w:space="0"/>
        </w:rPr>
        <w:t>（11）标的债权附属的保证或反担保协议约定主债权不可转让或只对特定债权人承担保证责任；</w:t>
      </w:r>
    </w:p>
    <w:p w14:paraId="1B5E90A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666666"/>
          <w:spacing w:val="0"/>
          <w:sz w:val="28"/>
          <w:szCs w:val="28"/>
          <w:bdr w:val="none" w:color="auto" w:sz="0" w:space="0"/>
        </w:rPr>
        <w:t>（12）标的债权的保证担保及反担保在保证协议或反担保协议约定或法律规定的保证期间内因没有向债务人或保证人或反担保人主张权利，而造成保证人或反担保人不再承担保证责任或免责；</w:t>
      </w:r>
    </w:p>
    <w:p w14:paraId="3ED1F4E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666666"/>
          <w:spacing w:val="0"/>
          <w:sz w:val="28"/>
          <w:szCs w:val="28"/>
          <w:bdr w:val="none" w:color="auto" w:sz="0" w:space="0"/>
        </w:rPr>
        <w:t>（13）标的债权的保证已过诉讼时效；</w:t>
      </w:r>
    </w:p>
    <w:p w14:paraId="4886DD5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666666"/>
          <w:spacing w:val="0"/>
          <w:sz w:val="28"/>
          <w:szCs w:val="28"/>
          <w:bdr w:val="none" w:color="auto" w:sz="0" w:space="0"/>
        </w:rPr>
        <w:t>（14）标的债权的担保物权在主债权诉讼时效完成后未予行使；</w:t>
      </w:r>
    </w:p>
    <w:p w14:paraId="4EDE24B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666666"/>
          <w:spacing w:val="0"/>
          <w:sz w:val="28"/>
          <w:szCs w:val="28"/>
          <w:bdr w:val="none" w:color="auto" w:sz="0" w:space="0"/>
        </w:rPr>
        <w:t>（15）标的债权的担保物权因担保物灭失而消灭，且没有代位物或其他物上代位权可行使；</w:t>
      </w:r>
    </w:p>
    <w:p w14:paraId="1278110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666666"/>
          <w:spacing w:val="0"/>
          <w:sz w:val="28"/>
          <w:szCs w:val="28"/>
          <w:bdr w:val="none" w:color="auto" w:sz="0" w:space="0"/>
        </w:rPr>
        <w:t>（16）标的债权的抵押物实际不存在，抵押物重复抵押，抵押协议实际未生效，抵押担保应办理抵押登记而未办理；或因动产抵押协议未办理登记而抵押物已为第三人善意取得；</w:t>
      </w:r>
    </w:p>
    <w:p w14:paraId="2CBA1AE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666666"/>
          <w:spacing w:val="0"/>
          <w:sz w:val="28"/>
          <w:szCs w:val="28"/>
          <w:bdr w:val="none" w:color="auto" w:sz="0" w:space="0"/>
        </w:rPr>
        <w:t>（17）标的债权及其附属的最高额抵押，可能因最高额抵押的决算期未届满而发生一次或数次转让，从而可能造成抵押权甚至主债权落空的风险；</w:t>
      </w:r>
    </w:p>
    <w:p w14:paraId="3889BC0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666666"/>
          <w:spacing w:val="0"/>
          <w:sz w:val="28"/>
          <w:szCs w:val="28"/>
          <w:bdr w:val="none" w:color="auto" w:sz="0" w:space="0"/>
        </w:rPr>
        <w:t>（18）已经进入诉讼程序的标的债权可能存在因超过法定上诉期限、申请执行期限而无法获得法律保护；全部或部分债权经法院或仲裁机构裁判未获得其支持而败诉或部分败诉、法院已裁定终结执行等诉讼风险；</w:t>
      </w:r>
    </w:p>
    <w:p w14:paraId="417B1BE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666666"/>
          <w:spacing w:val="0"/>
          <w:sz w:val="28"/>
          <w:szCs w:val="28"/>
          <w:bdr w:val="none" w:color="auto" w:sz="0" w:space="0"/>
        </w:rPr>
        <w:t>（19）与标的债权相关的债务人或担保人、反担保人或第三方存在破产、被解散、被注销、被撤销、被关闭、被吊销、歇业、下落不明以及其他主体存续性瑕疵的情形；</w:t>
      </w:r>
    </w:p>
    <w:p w14:paraId="4107F84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666666"/>
          <w:spacing w:val="0"/>
          <w:sz w:val="28"/>
          <w:szCs w:val="28"/>
          <w:bdr w:val="none" w:color="auto" w:sz="0" w:space="0"/>
        </w:rPr>
        <w:t>（20）标的债权</w:t>
      </w:r>
      <w:r>
        <w:rPr>
          <w:rFonts w:hint="default" w:ascii="Helvetica" w:hAnsi="Helvetica" w:eastAsia="Helvetica" w:cs="Helvetica"/>
          <w:i w:val="0"/>
          <w:iCs w:val="0"/>
          <w:caps w:val="0"/>
          <w:color w:val="666666"/>
          <w:spacing w:val="0"/>
          <w:sz w:val="28"/>
          <w:szCs w:val="28"/>
          <w:bdr w:val="none" w:color="auto" w:sz="0" w:space="0"/>
        </w:rPr>
        <w:t>可能存在不能变更申请执行人为买受人的风险，可能存在债务人的财产无法执行或无财产执行，可能存在债权无法收回、产生损失等相关情形。</w:t>
      </w:r>
    </w:p>
    <w:p w14:paraId="7F40995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666666"/>
          <w:spacing w:val="0"/>
          <w:sz w:val="28"/>
          <w:szCs w:val="28"/>
          <w:bdr w:val="none" w:color="auto" w:sz="0" w:space="0"/>
        </w:rPr>
        <w:t>（21）标的债权及其从权利的其他瑕疵或重大缺陷。</w:t>
      </w:r>
    </w:p>
    <w:p w14:paraId="0557736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2、标的物以现状交付为准。债权金额仅供竞买人参考，请竞买人自行充分调查了解，竞买人应充分考虑各案情况、实际回收可能性等事宜，谨慎参拍。</w:t>
      </w:r>
    </w:p>
    <w:p w14:paraId="16DA2C5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3、竞买人在拍卖成交后所获得的应收款项权益以出让人所享有的权益为准，如出让人的权益存在瑕疵或附随义务，受让人将同样受到该瑕疵或附随义务的约束。上述存在的瑕疵或附随义务或尚未发现的缺陷，由竞买人自行调查核实并承担相应风险。</w:t>
      </w:r>
    </w:p>
    <w:p w14:paraId="679F35D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4、上述拍卖标的进行拍卖，由买受人与重庆五矿机械进出口有限公司签订债权转让协议。协议生效后，重庆五矿机械进出口有限公司协助买受人向债务人发出债权转让通知，但应收账款可能存在无联系人、无联系电话、无联系地址等无法有效送达债权转让通知的情况，请竞买人充分了解其将产生的法律风险。向债务人发出债权转让通知的费用，包括但不限于通过在报刊上刊登公告、邮寄、当面送达等事项所发生的一切费用，均由买受人承担。所涉及的一切税、费，均由双方依法缴纳，法律法规未规定、未明确交费义务人的费用由买受人承担。</w:t>
      </w:r>
    </w:p>
    <w:p w14:paraId="5A0747E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5、买受人须自行负责通知债务人债权转让事项；买受人须自行向法院申请变更申请执行人，但由买受人自行承担不能通知债务人、不能变更申请执行人等全部风险和后果，与管理人无关。</w:t>
      </w:r>
    </w:p>
    <w:p w14:paraId="130D6C9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6、上述存在的瑕疵或尚未发现的缺陷，由买受人自行承担风险，其他未尽事宜由买受人自行了解。</w:t>
      </w:r>
    </w:p>
    <w:p w14:paraId="66ADEB9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666666"/>
          <w:spacing w:val="0"/>
          <w:sz w:val="28"/>
          <w:szCs w:val="28"/>
          <w:bdr w:val="none" w:color="auto" w:sz="0" w:space="0"/>
          <w:shd w:val="clear" w:fill="FFFF00"/>
        </w:rPr>
        <w:t>7、破产企业或管理人不为本次交易开具任何发票。</w:t>
      </w:r>
    </w:p>
    <w:p w14:paraId="4331E23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FF0000"/>
          <w:spacing w:val="0"/>
          <w:sz w:val="28"/>
          <w:szCs w:val="28"/>
          <w:bdr w:val="none" w:color="auto" w:sz="0" w:space="0"/>
          <w:shd w:val="clear" w:fill="FFFF00"/>
        </w:rPr>
        <w:t>竞买人在参与竞买前应当自行调查，审慎考量存在的各种风险，谨慎参拍，管理人不对本次拍卖的债权存在和可能存在的瑕疵承担任何的保证责任，由买受人自行承担风险；竞买人一旦参与竞买，则视为竞买人已经充分知悉和调查清楚债务人的相关情况；同时管理人对能否收回多少本金及资金占用损失不做任何承诺及保证。</w:t>
      </w:r>
      <w:r>
        <w:rPr>
          <w:rFonts w:hint="default" w:ascii="Helvetica" w:hAnsi="Helvetica" w:eastAsia="Helvetica" w:cs="Helvetica"/>
          <w:b/>
          <w:bCs/>
          <w:i w:val="0"/>
          <w:iCs w:val="0"/>
          <w:caps w:val="0"/>
          <w:color w:val="FF0000"/>
          <w:spacing w:val="0"/>
          <w:sz w:val="28"/>
          <w:szCs w:val="28"/>
          <w:bdr w:val="none" w:color="auto" w:sz="0" w:space="0"/>
        </w:rPr>
        <w:t> </w:t>
      </w:r>
    </w:p>
    <w:p w14:paraId="70CE06D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FF0000"/>
          <w:spacing w:val="0"/>
          <w:sz w:val="28"/>
          <w:szCs w:val="28"/>
          <w:bdr w:val="none" w:color="auto" w:sz="0" w:space="0"/>
        </w:rPr>
        <w:t>评估价值</w:t>
      </w:r>
      <w:r>
        <w:rPr>
          <w:rFonts w:hint="eastAsia" w:ascii="宋体" w:hAnsi="宋体" w:eastAsia="宋体" w:cs="宋体"/>
          <w:b/>
          <w:bCs/>
          <w:i w:val="0"/>
          <w:iCs w:val="0"/>
          <w:caps w:val="0"/>
          <w:color w:val="FF0000"/>
          <w:spacing w:val="0"/>
          <w:sz w:val="28"/>
          <w:szCs w:val="28"/>
          <w:bdr w:val="none" w:color="auto" w:sz="0" w:space="0"/>
        </w:rPr>
        <w:t>：</w:t>
      </w:r>
      <w:r>
        <w:rPr>
          <w:rFonts w:hint="default" w:ascii="Helvetica" w:hAnsi="Helvetica" w:eastAsia="Helvetica" w:cs="Helvetica"/>
          <w:b/>
          <w:bCs/>
          <w:i w:val="0"/>
          <w:iCs w:val="0"/>
          <w:caps w:val="0"/>
          <w:color w:val="FF0000"/>
          <w:spacing w:val="0"/>
          <w:sz w:val="28"/>
          <w:szCs w:val="28"/>
          <w:bdr w:val="none" w:color="auto" w:sz="0" w:space="0"/>
        </w:rPr>
        <w:t>  498</w:t>
      </w:r>
      <w:r>
        <w:rPr>
          <w:rFonts w:hint="eastAsia" w:ascii="宋体" w:hAnsi="宋体" w:eastAsia="宋体" w:cs="宋体"/>
          <w:b/>
          <w:bCs/>
          <w:i w:val="0"/>
          <w:iCs w:val="0"/>
          <w:caps w:val="0"/>
          <w:color w:val="FF0000"/>
          <w:spacing w:val="0"/>
          <w:sz w:val="28"/>
          <w:szCs w:val="28"/>
          <w:bdr w:val="none" w:color="auto" w:sz="0" w:space="0"/>
        </w:rPr>
        <w:t>,324,171.66 元</w:t>
      </w:r>
      <w:r>
        <w:rPr>
          <w:rFonts w:hint="default" w:ascii="Helvetica" w:hAnsi="Helvetica" w:eastAsia="Helvetica" w:cs="Helvetica"/>
          <w:b/>
          <w:bCs/>
          <w:i w:val="0"/>
          <w:iCs w:val="0"/>
          <w:caps w:val="0"/>
          <w:color w:val="FF0000"/>
          <w:spacing w:val="0"/>
          <w:sz w:val="28"/>
          <w:szCs w:val="28"/>
          <w:bdr w:val="none" w:color="auto" w:sz="0" w:space="0"/>
        </w:rPr>
        <w:t>   </w:t>
      </w:r>
      <w:r>
        <w:rPr>
          <w:rFonts w:hint="eastAsia" w:ascii="宋体" w:hAnsi="宋体" w:eastAsia="宋体" w:cs="宋体"/>
          <w:b/>
          <w:bCs/>
          <w:i w:val="0"/>
          <w:iCs w:val="0"/>
          <w:caps w:val="0"/>
          <w:color w:val="FF0000"/>
          <w:spacing w:val="0"/>
          <w:sz w:val="28"/>
          <w:szCs w:val="28"/>
          <w:bdr w:val="none" w:color="auto" w:sz="0" w:space="0"/>
        </w:rPr>
        <w:t>起拍价：</w:t>
      </w:r>
      <w:r>
        <w:rPr>
          <w:rFonts w:hint="default" w:ascii="Helvetica" w:hAnsi="Helvetica" w:eastAsia="Helvetica" w:cs="Helvetica"/>
          <w:b/>
          <w:bCs/>
          <w:i w:val="0"/>
          <w:iCs w:val="0"/>
          <w:caps w:val="0"/>
          <w:color w:val="FF0000"/>
          <w:spacing w:val="0"/>
          <w:sz w:val="28"/>
          <w:szCs w:val="28"/>
          <w:bdr w:val="none" w:color="auto" w:sz="0" w:space="0"/>
        </w:rPr>
        <w:t>  2,353,269.37</w:t>
      </w:r>
      <w:r>
        <w:rPr>
          <w:rFonts w:hint="eastAsia" w:ascii="宋体" w:hAnsi="宋体" w:eastAsia="宋体" w:cs="宋体"/>
          <w:b/>
          <w:bCs/>
          <w:i w:val="0"/>
          <w:iCs w:val="0"/>
          <w:caps w:val="0"/>
          <w:color w:val="FF0000"/>
          <w:spacing w:val="0"/>
          <w:sz w:val="28"/>
          <w:szCs w:val="28"/>
          <w:bdr w:val="none" w:color="auto" w:sz="0" w:space="0"/>
        </w:rPr>
        <w:t>元</w:t>
      </w:r>
    </w:p>
    <w:p w14:paraId="6B59709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FF0000"/>
          <w:spacing w:val="0"/>
          <w:sz w:val="28"/>
          <w:szCs w:val="28"/>
          <w:bdr w:val="none" w:color="auto" w:sz="0" w:space="0"/>
        </w:rPr>
        <w:t>保证金：</w:t>
      </w:r>
      <w:r>
        <w:rPr>
          <w:rFonts w:hint="default" w:ascii="Helvetica" w:hAnsi="Helvetica" w:eastAsia="Helvetica" w:cs="Helvetica"/>
          <w:b/>
          <w:bCs/>
          <w:i w:val="0"/>
          <w:iCs w:val="0"/>
          <w:caps w:val="0"/>
          <w:color w:val="FF0000"/>
          <w:spacing w:val="0"/>
          <w:sz w:val="28"/>
          <w:szCs w:val="28"/>
          <w:bdr w:val="none" w:color="auto" w:sz="0" w:space="0"/>
        </w:rPr>
        <w:t> 235，326.94</w:t>
      </w:r>
      <w:r>
        <w:rPr>
          <w:rFonts w:hint="eastAsia" w:ascii="宋体" w:hAnsi="宋体" w:eastAsia="宋体" w:cs="宋体"/>
          <w:b/>
          <w:bCs/>
          <w:i w:val="0"/>
          <w:iCs w:val="0"/>
          <w:caps w:val="0"/>
          <w:color w:val="FF0000"/>
          <w:spacing w:val="0"/>
          <w:sz w:val="28"/>
          <w:szCs w:val="28"/>
          <w:bdr w:val="none" w:color="auto" w:sz="0" w:space="0"/>
        </w:rPr>
        <w:t>元</w:t>
      </w:r>
    </w:p>
    <w:p w14:paraId="79F9CA4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FF0000"/>
          <w:spacing w:val="0"/>
          <w:sz w:val="28"/>
          <w:szCs w:val="28"/>
          <w:bdr w:val="none" w:color="auto" w:sz="0" w:space="0"/>
        </w:rPr>
        <w:t>加价幅度：50,000.00元（及其整倍数）</w:t>
      </w:r>
    </w:p>
    <w:p w14:paraId="658F9A1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FF0000"/>
          <w:spacing w:val="0"/>
          <w:sz w:val="28"/>
          <w:szCs w:val="28"/>
          <w:bdr w:val="none" w:color="auto" w:sz="0" w:space="0"/>
        </w:rPr>
        <w:t>起拍价、成交价均不包含包括税费、淘宝平台平台软件服务费等其他费用。</w:t>
      </w:r>
    </w:p>
    <w:p w14:paraId="12DBF0C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FF0000"/>
          <w:spacing w:val="0"/>
          <w:sz w:val="28"/>
          <w:szCs w:val="28"/>
          <w:bdr w:val="none" w:color="auto" w:sz="0" w:space="0"/>
        </w:rPr>
        <w:t> </w:t>
      </w:r>
    </w:p>
    <w:p w14:paraId="48771FF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具体标的物状况以实际交付为准，标的物介绍、调查表、清单等仅供参考，未标明的瑕疵不在拍卖人责任承担范围内，请各竞买人自行了解并承担。</w:t>
      </w:r>
    </w:p>
    <w:p w14:paraId="7326680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000000"/>
          <w:spacing w:val="0"/>
          <w:sz w:val="28"/>
          <w:szCs w:val="28"/>
          <w:bdr w:val="none" w:color="auto" w:sz="0" w:space="0"/>
        </w:rPr>
        <w:t>三、咨询看样</w:t>
      </w:r>
    </w:p>
    <w:p w14:paraId="388F22F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000000"/>
          <w:spacing w:val="0"/>
          <w:sz w:val="28"/>
          <w:szCs w:val="28"/>
          <w:bdr w:val="none" w:color="auto" w:sz="0" w:space="0"/>
        </w:rPr>
        <w:t>自公告发布之日起至拍卖结束前接受咨询，看样时间根据预约情况由管理人安排，联系电话：</w:t>
      </w:r>
      <w:r>
        <w:rPr>
          <w:rFonts w:hint="eastAsia" w:ascii="宋体" w:hAnsi="宋体" w:eastAsia="宋体" w:cs="宋体"/>
          <w:b/>
          <w:bCs/>
          <w:i w:val="0"/>
          <w:iCs w:val="0"/>
          <w:caps w:val="0"/>
          <w:color w:val="000000"/>
          <w:spacing w:val="0"/>
          <w:sz w:val="28"/>
          <w:szCs w:val="28"/>
          <w:bdr w:val="none" w:color="auto" w:sz="0" w:space="0"/>
        </w:rPr>
        <w:t>范老师17320484190</w:t>
      </w:r>
      <w:r>
        <w:rPr>
          <w:rFonts w:hint="default" w:ascii="Helvetica" w:hAnsi="Helvetica" w:eastAsia="Helvetica" w:cs="Helvetica"/>
          <w:b/>
          <w:bCs/>
          <w:i w:val="0"/>
          <w:iCs w:val="0"/>
          <w:caps w:val="0"/>
          <w:color w:val="000000"/>
          <w:spacing w:val="0"/>
          <w:sz w:val="28"/>
          <w:szCs w:val="28"/>
          <w:bdr w:val="none" w:color="auto" w:sz="0" w:space="0"/>
        </w:rPr>
        <w:t>。</w:t>
      </w:r>
    </w:p>
    <w:p w14:paraId="162436F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000000"/>
          <w:spacing w:val="0"/>
          <w:sz w:val="28"/>
          <w:szCs w:val="28"/>
          <w:bdr w:val="none" w:color="auto" w:sz="0" w:space="0"/>
        </w:rPr>
        <w:t>四、竞买人条件</w:t>
      </w:r>
    </w:p>
    <w:p w14:paraId="6036F31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1、凡具备完全民事行为能力的公民、法人和其他组织均可参加竞买，若不具有完全民事行为能力的，其委托人或代理人必须具备完全民事行为能力；</w:t>
      </w:r>
      <w:r>
        <w:rPr>
          <w:rFonts w:hint="eastAsia" w:ascii="宋体" w:hAnsi="宋体" w:eastAsia="宋体" w:cs="宋体"/>
          <w:i w:val="0"/>
          <w:iCs w:val="0"/>
          <w:caps w:val="0"/>
          <w:color w:val="000000"/>
          <w:spacing w:val="0"/>
          <w:sz w:val="28"/>
          <w:szCs w:val="28"/>
          <w:bdr w:val="none" w:color="auto" w:sz="0" w:space="0"/>
        </w:rPr>
        <w:t>但以下人员或机构不得受让资产：1）债务人（本次标的物的欠款主体）、担保人；2）债务人（本次标的物的欠款主体）、担保人为自然人的，其本人及其直系亲属；3）债务企业（本次标的物的欠款主体）的控股股东、实际控制人及其控股下属公司、担保企业及其控股下属公司，债务企业的其他关联企业；4）上述主体出资成立的法人机构或特殊目的实体。</w:t>
      </w:r>
    </w:p>
    <w:p w14:paraId="4E2A96C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2、法律、行政法规、司法解释及政策对买受人资格或者条件有特殊规定的，竞买人应当具备规定的资格或者条件。因不符合资格或条件参加竞买的，由竞买人自行承担相应的法律责任。</w:t>
      </w:r>
    </w:p>
    <w:p w14:paraId="3208F0B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3、竞买人可委托代理人（具备完全民事行为能力的自然人）进行，但须在</w:t>
      </w:r>
      <w:r>
        <w:rPr>
          <w:rFonts w:hint="eastAsia" w:ascii="宋体" w:hAnsi="宋体" w:eastAsia="宋体" w:cs="宋体"/>
          <w:b/>
          <w:bCs/>
          <w:i w:val="0"/>
          <w:iCs w:val="0"/>
          <w:caps w:val="0"/>
          <w:color w:val="000000"/>
          <w:spacing w:val="0"/>
          <w:sz w:val="28"/>
          <w:szCs w:val="28"/>
          <w:bdr w:val="none" w:color="auto" w:sz="0" w:space="0"/>
        </w:rPr>
        <w:t>竞价程序开始3个工作日前</w:t>
      </w:r>
      <w:r>
        <w:rPr>
          <w:rFonts w:hint="eastAsia" w:ascii="宋体" w:hAnsi="宋体" w:eastAsia="宋体" w:cs="宋体"/>
          <w:i w:val="0"/>
          <w:iCs w:val="0"/>
          <w:caps w:val="0"/>
          <w:color w:val="000000"/>
          <w:spacing w:val="0"/>
          <w:sz w:val="28"/>
          <w:szCs w:val="28"/>
          <w:bdr w:val="none" w:color="auto" w:sz="0" w:space="0"/>
          <w:shd w:val="clear" w:fill="FFFF00"/>
        </w:rPr>
        <w:t>与辅助拍卖机构</w:t>
      </w:r>
      <w:r>
        <w:rPr>
          <w:rFonts w:hint="default" w:ascii="Helvetica" w:hAnsi="Helvetica" w:eastAsia="Helvetica" w:cs="Helvetica"/>
          <w:i w:val="0"/>
          <w:iCs w:val="0"/>
          <w:caps w:val="0"/>
          <w:color w:val="000000"/>
          <w:spacing w:val="0"/>
          <w:sz w:val="28"/>
          <w:szCs w:val="28"/>
          <w:bdr w:val="none" w:color="auto" w:sz="0" w:space="0"/>
        </w:rPr>
        <w:t>沟通办理委托手续；竞买成功后，竞买人（法定代表人、其他组织的负责人）须与委托代理人一同到管理人处办理交付手续。如委托手续不全，竞买活动认定为委托代理人的个人行为。因不符合资格或条件参加竞买的，由竞买人自行承担相应的法律责任。</w:t>
      </w:r>
    </w:p>
    <w:p w14:paraId="2B16281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000000"/>
          <w:spacing w:val="0"/>
          <w:sz w:val="28"/>
          <w:szCs w:val="28"/>
          <w:bdr w:val="none" w:color="auto" w:sz="0" w:space="0"/>
        </w:rPr>
        <w:t>五、优先购买权人</w:t>
      </w:r>
    </w:p>
    <w:p w14:paraId="622DC7B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1、本标的物优先购买权人相关说明：暂无。</w:t>
      </w:r>
    </w:p>
    <w:p w14:paraId="6732B79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2、</w:t>
      </w:r>
      <w:r>
        <w:rPr>
          <w:rFonts w:hint="eastAsia" w:ascii="宋体" w:hAnsi="宋体" w:eastAsia="宋体" w:cs="宋体"/>
          <w:b/>
          <w:bCs/>
          <w:i w:val="0"/>
          <w:iCs w:val="0"/>
          <w:caps w:val="0"/>
          <w:color w:val="000000"/>
          <w:spacing w:val="0"/>
          <w:sz w:val="28"/>
          <w:szCs w:val="28"/>
          <w:bdr w:val="none" w:color="auto" w:sz="0" w:space="0"/>
        </w:rPr>
        <w:t>优先购买权人参加竞买，请于竞价程序开始3个工作日前</w:t>
      </w:r>
      <w:r>
        <w:rPr>
          <w:rFonts w:hint="default" w:ascii="Helvetica" w:hAnsi="Helvetica" w:eastAsia="Helvetica" w:cs="Helvetica"/>
          <w:i w:val="0"/>
          <w:iCs w:val="0"/>
          <w:caps w:val="0"/>
          <w:color w:val="000000"/>
          <w:spacing w:val="0"/>
          <w:sz w:val="28"/>
          <w:szCs w:val="28"/>
          <w:bdr w:val="none" w:color="auto" w:sz="0" w:space="0"/>
        </w:rPr>
        <w:t>向五矿公司管理人提交合法有效的证明，资格经管理人确认后才能参与竞买，逾期不提交的，视为放弃对本标的物享有优先购买权。</w:t>
      </w:r>
    </w:p>
    <w:p w14:paraId="7326A37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3、优先购买权人参与竞买的，以与其他竞买人相同的价格出价，没有更高出价的，拍卖财产由优先购买权人竞得。</w:t>
      </w:r>
    </w:p>
    <w:p w14:paraId="41EB5BB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1AE1336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000000"/>
          <w:spacing w:val="0"/>
          <w:sz w:val="28"/>
          <w:szCs w:val="28"/>
          <w:bdr w:val="none" w:color="auto" w:sz="0" w:space="0"/>
        </w:rPr>
        <w:t>六、拍卖方式</w:t>
      </w:r>
    </w:p>
    <w:p w14:paraId="0E42113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本次拍卖采取有保留价的增价拍卖方式，保留价即为起拍价，至少一人报名且出价，且不低于起拍价，方可成交。无人报名或出价的，此次竞价会流拍。</w:t>
      </w:r>
    </w:p>
    <w:p w14:paraId="0215F4A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8"/>
          <w:szCs w:val="28"/>
          <w:bdr w:val="none" w:color="auto" w:sz="0" w:space="0"/>
        </w:rPr>
        <w:t>本次拍卖活动设置延时出价功能，在拍卖活动结束前，每最后5分钟如果有竞买人出价，将自动延迟5分钟。</w:t>
      </w:r>
    </w:p>
    <w:p w14:paraId="2C5EF89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000000"/>
          <w:spacing w:val="0"/>
          <w:sz w:val="28"/>
          <w:szCs w:val="28"/>
          <w:bdr w:val="none" w:color="auto" w:sz="0" w:space="0"/>
        </w:rPr>
        <w:t>七、税费及其他费用承担</w:t>
      </w:r>
    </w:p>
    <w:p w14:paraId="289920C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000000"/>
          <w:spacing w:val="0"/>
          <w:sz w:val="28"/>
          <w:szCs w:val="28"/>
          <w:bdr w:val="none" w:color="auto" w:sz="0" w:space="0"/>
        </w:rPr>
        <w:t>税费：</w:t>
      </w:r>
      <w:r>
        <w:rPr>
          <w:rFonts w:hint="default" w:ascii="Helvetica" w:hAnsi="Helvetica" w:eastAsia="Helvetica" w:cs="Helvetica"/>
          <w:b/>
          <w:bCs/>
          <w:i w:val="0"/>
          <w:iCs w:val="0"/>
          <w:caps w:val="0"/>
          <w:color w:val="FF0000"/>
          <w:spacing w:val="0"/>
          <w:sz w:val="28"/>
          <w:szCs w:val="28"/>
          <w:bdr w:val="none" w:color="auto" w:sz="0" w:space="0"/>
        </w:rPr>
        <w:t>标的物拍卖成交后，标的物的权利转移手续由买受人自行办理，管理人予以协助。标的物成交后涉及的各项税、费，按国家规定由买卖双方各自承担。法律法规未规定、未明确交费义务人的费用由买受人承担。买受人在竞买前应向所涉税务局部门确认成交后应缴纳的税、费标准。</w:t>
      </w:r>
    </w:p>
    <w:p w14:paraId="3ED3E41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竞买人在竞买前应对拍卖标的作详细了解，并充分估算拍卖所产生的各种税、费，如果拍卖后发生非因管理人原因产生的风险，管理人不承担任何经济及法律责任。</w:t>
      </w:r>
    </w:p>
    <w:p w14:paraId="2091CCB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FF0000"/>
          <w:spacing w:val="0"/>
          <w:sz w:val="28"/>
          <w:szCs w:val="28"/>
          <w:bdr w:val="none" w:color="auto" w:sz="0" w:space="0"/>
        </w:rPr>
        <w:t>起拍价、成交价均不包含包括税费、淘宝平台平台软件服务费等其他费用。</w:t>
      </w:r>
    </w:p>
    <w:p w14:paraId="036482F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000000"/>
          <w:spacing w:val="0"/>
          <w:sz w:val="28"/>
          <w:szCs w:val="28"/>
          <w:bdr w:val="none" w:color="auto" w:sz="0" w:space="0"/>
        </w:rPr>
        <w:t>八、保证金、余款、软件服务费</w:t>
      </w:r>
    </w:p>
    <w:p w14:paraId="789FDE3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1、保证金：</w:t>
      </w:r>
    </w:p>
    <w:p w14:paraId="6D49F8B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8"/>
          <w:szCs w:val="28"/>
          <w:bdr w:val="none" w:color="auto" w:sz="0" w:space="0"/>
        </w:rPr>
        <w:t>拍卖竞价前将通过淘宝网阿里拍卖资产交易破产平台系统在竞买人支付宝账户内锁定相应资金作为应缴的保证金，拍卖结束，未能竞得者锁定的保证金1-3个工作日自动解锁，锁定期间不计利息。拍卖成交后，买受人交纳的保证金可以充抵价款，本标的物买受人原锁定的保证金将在买受人支付软件服务费以后24小时以内自动转入本管理人指定账户。</w:t>
      </w:r>
    </w:p>
    <w:p w14:paraId="177E998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2、</w:t>
      </w:r>
      <w:r>
        <w:rPr>
          <w:rFonts w:hint="default" w:ascii="Helvetica" w:hAnsi="Helvetica" w:eastAsia="Helvetica" w:cs="Helvetica"/>
          <w:i w:val="0"/>
          <w:iCs w:val="0"/>
          <w:caps w:val="0"/>
          <w:color w:val="000000"/>
          <w:spacing w:val="0"/>
          <w:sz w:val="28"/>
          <w:szCs w:val="28"/>
          <w:bdr w:val="none" w:color="auto" w:sz="0" w:space="0"/>
        </w:rPr>
        <w:t>余款</w:t>
      </w:r>
      <w:r>
        <w:rPr>
          <w:rFonts w:hint="default" w:ascii="Helvetica" w:hAnsi="Helvetica" w:eastAsia="Helvetica" w:cs="Helvetica"/>
          <w:b/>
          <w:bCs/>
          <w:i w:val="0"/>
          <w:iCs w:val="0"/>
          <w:caps w:val="0"/>
          <w:color w:val="000000"/>
          <w:spacing w:val="0"/>
          <w:sz w:val="28"/>
          <w:szCs w:val="28"/>
          <w:bdr w:val="none" w:color="auto" w:sz="0" w:space="0"/>
        </w:rPr>
        <w:t>：</w:t>
      </w:r>
    </w:p>
    <w:p w14:paraId="3E75745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拍卖成交后，买受人应按时支付拍卖余款，拍卖余款（扣除保证金后的余款）应当在拍卖成交日起七个工作日内汇款至管理人指定账户。</w:t>
      </w:r>
    </w:p>
    <w:p w14:paraId="0799AB6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管理人指定账户：</w:t>
      </w:r>
    </w:p>
    <w:p w14:paraId="590B61B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FF0000"/>
          <w:spacing w:val="0"/>
          <w:sz w:val="28"/>
          <w:szCs w:val="28"/>
          <w:bdr w:val="none" w:color="auto" w:sz="0" w:space="0"/>
        </w:rPr>
        <w:t>户名：重庆五矿机械进出口有限公司管理人</w:t>
      </w:r>
    </w:p>
    <w:p w14:paraId="6722C4F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FF0000"/>
          <w:spacing w:val="0"/>
          <w:sz w:val="28"/>
          <w:szCs w:val="28"/>
          <w:bdr w:val="none" w:color="auto" w:sz="0" w:space="0"/>
        </w:rPr>
        <w:t>开户行：中国银行重庆九龙坡支行营业部</w:t>
      </w:r>
    </w:p>
    <w:p w14:paraId="3D2EF23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FF0000"/>
          <w:spacing w:val="0"/>
          <w:sz w:val="28"/>
          <w:szCs w:val="28"/>
          <w:bdr w:val="none" w:color="auto" w:sz="0" w:space="0"/>
        </w:rPr>
        <w:t>账号：113073565268</w:t>
      </w:r>
    </w:p>
    <w:p w14:paraId="7636521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3、</w:t>
      </w:r>
      <w:r>
        <w:rPr>
          <w:rFonts w:hint="default" w:ascii="Helvetica" w:hAnsi="Helvetica" w:eastAsia="Helvetica" w:cs="Helvetica"/>
          <w:i w:val="0"/>
          <w:iCs w:val="0"/>
          <w:caps w:val="0"/>
          <w:color w:val="000000"/>
          <w:spacing w:val="0"/>
          <w:sz w:val="28"/>
          <w:szCs w:val="28"/>
          <w:bdr w:val="none" w:color="auto" w:sz="0" w:space="0"/>
        </w:rPr>
        <w:t>软件服务费：</w:t>
      </w:r>
    </w:p>
    <w:p w14:paraId="093B055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8"/>
          <w:szCs w:val="28"/>
          <w:bdr w:val="none" w:color="auto" w:sz="0" w:space="0"/>
        </w:rPr>
        <w:t>拍卖成交后，买受人应按照规则向淘宝网支付软件服务费（收费标准为：系统成交价总额的0.5%，单个标的软件服务费金额上限为50万（人民币：伍拾万</w:t>
      </w:r>
      <w:r>
        <w:rPr>
          <w:rFonts w:hint="default" w:ascii="Helvetica" w:hAnsi="Helvetica" w:eastAsia="Helvetica" w:cs="Helvetica"/>
          <w:b/>
          <w:bCs/>
          <w:i w:val="0"/>
          <w:iCs w:val="0"/>
          <w:caps w:val="0"/>
          <w:color w:val="000000"/>
          <w:spacing w:val="0"/>
          <w:sz w:val="28"/>
          <w:szCs w:val="28"/>
          <w:bdr w:val="none" w:color="auto" w:sz="0" w:space="0"/>
        </w:rPr>
        <w:t>元</w:t>
      </w:r>
      <w:r>
        <w:rPr>
          <w:rFonts w:hint="eastAsia" w:ascii="宋体" w:hAnsi="宋体" w:eastAsia="宋体" w:cs="宋体"/>
          <w:b/>
          <w:bCs/>
          <w:i w:val="0"/>
          <w:iCs w:val="0"/>
          <w:caps w:val="0"/>
          <w:color w:val="000000"/>
          <w:spacing w:val="0"/>
          <w:sz w:val="28"/>
          <w:szCs w:val="28"/>
          <w:bdr w:val="none" w:color="auto" w:sz="0" w:space="0"/>
        </w:rPr>
        <w:t>整）。其中：系统成交价=起拍价+溢价。具体费用按淘宝网收取为准）。如竞买人未支付该费用，缴纳的竞拍保证金将被冻结，影响拍卖最终成交，由此引起的责任由竞买人自行承担，具体详见平台收费规则：</w:t>
      </w:r>
    </w:p>
    <w:p w14:paraId="531AC5E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1"/>
          <w:szCs w:val="21"/>
          <w:u w:val="none"/>
          <w:bdr w:val="none" w:color="auto" w:sz="0" w:space="0"/>
        </w:rPr>
        <w:fldChar w:fldCharType="begin"/>
      </w:r>
      <w:r>
        <w:rPr>
          <w:rFonts w:hint="default" w:ascii="Helvetica" w:hAnsi="Helvetica" w:eastAsia="Helvetica" w:cs="Helvetica"/>
          <w:i w:val="0"/>
          <w:iCs w:val="0"/>
          <w:caps w:val="0"/>
          <w:color w:val="666666"/>
          <w:spacing w:val="0"/>
          <w:sz w:val="21"/>
          <w:szCs w:val="21"/>
          <w:u w:val="none"/>
          <w:bdr w:val="none" w:color="auto" w:sz="0" w:space="0"/>
        </w:rPr>
        <w:instrText xml:space="preserve"> HYPERLINK "https://www.taobao.com/markets/paimai/bankruptcycharges?spm=a213w.6688509.detail.7.5c8251f2laGTCo%E3%80%82" </w:instrText>
      </w:r>
      <w:r>
        <w:rPr>
          <w:rFonts w:hint="default" w:ascii="Helvetica" w:hAnsi="Helvetica" w:eastAsia="Helvetica" w:cs="Helvetica"/>
          <w:i w:val="0"/>
          <w:iCs w:val="0"/>
          <w:caps w:val="0"/>
          <w:color w:val="666666"/>
          <w:spacing w:val="0"/>
          <w:sz w:val="21"/>
          <w:szCs w:val="21"/>
          <w:u w:val="none"/>
          <w:bdr w:val="none" w:color="auto" w:sz="0" w:space="0"/>
        </w:rPr>
        <w:fldChar w:fldCharType="separate"/>
      </w:r>
      <w:r>
        <w:rPr>
          <w:rStyle w:val="5"/>
          <w:rFonts w:hint="default" w:ascii="Helvetica" w:hAnsi="Helvetica" w:eastAsia="Helvetica" w:cs="Helvetica"/>
          <w:b/>
          <w:bCs/>
          <w:i w:val="0"/>
          <w:iCs w:val="0"/>
          <w:caps w:val="0"/>
          <w:color w:val="000000"/>
          <w:spacing w:val="0"/>
          <w:sz w:val="28"/>
          <w:szCs w:val="28"/>
          <w:u w:val="single"/>
          <w:bdr w:val="none" w:color="auto" w:sz="0" w:space="0"/>
        </w:rPr>
        <w:t>https://www.taobao.com/markets/paimai/bankruptcycharges?spm=a213w.6688509.detail.7.5c8251f2laGTCo。</w:t>
      </w:r>
      <w:r>
        <w:rPr>
          <w:rFonts w:hint="default" w:ascii="Helvetica" w:hAnsi="Helvetica" w:eastAsia="Helvetica" w:cs="Helvetica"/>
          <w:i w:val="0"/>
          <w:iCs w:val="0"/>
          <w:caps w:val="0"/>
          <w:color w:val="666666"/>
          <w:spacing w:val="0"/>
          <w:sz w:val="21"/>
          <w:szCs w:val="21"/>
          <w:u w:val="none"/>
          <w:bdr w:val="none" w:color="auto" w:sz="0" w:space="0"/>
        </w:rPr>
        <w:fldChar w:fldCharType="end"/>
      </w:r>
    </w:p>
    <w:p w14:paraId="1234D03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4、</w:t>
      </w:r>
      <w:r>
        <w:rPr>
          <w:rFonts w:hint="default" w:ascii="Helvetica" w:hAnsi="Helvetica" w:eastAsia="Helvetica" w:cs="Helvetica"/>
          <w:i w:val="0"/>
          <w:iCs w:val="0"/>
          <w:caps w:val="0"/>
          <w:color w:val="000000"/>
          <w:spacing w:val="0"/>
          <w:sz w:val="28"/>
          <w:szCs w:val="28"/>
          <w:bdr w:val="none" w:color="auto" w:sz="0" w:space="0"/>
        </w:rPr>
        <w:t>破产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p>
    <w:p w14:paraId="2EE3DD3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1"/>
          <w:szCs w:val="21"/>
          <w:u w:val="none"/>
          <w:bdr w:val="none" w:color="auto" w:sz="0" w:space="0"/>
        </w:rPr>
        <w:fldChar w:fldCharType="begin"/>
      </w:r>
      <w:r>
        <w:rPr>
          <w:rFonts w:hint="default" w:ascii="Helvetica" w:hAnsi="Helvetica" w:eastAsia="Helvetica" w:cs="Helvetica"/>
          <w:i w:val="0"/>
          <w:iCs w:val="0"/>
          <w:caps w:val="0"/>
          <w:color w:val="666666"/>
          <w:spacing w:val="0"/>
          <w:sz w:val="21"/>
          <w:szCs w:val="21"/>
          <w:u w:val="none"/>
          <w:bdr w:val="none" w:color="auto" w:sz="0" w:space="0"/>
        </w:rPr>
        <w:instrText xml:space="preserve"> HYPERLINK "https://www.taobao.com/market/paimai/sf-helpcenter.php?path=sf-hc-right-content5" \l "q1" </w:instrText>
      </w:r>
      <w:r>
        <w:rPr>
          <w:rFonts w:hint="default" w:ascii="Helvetica" w:hAnsi="Helvetica" w:eastAsia="Helvetica" w:cs="Helvetica"/>
          <w:i w:val="0"/>
          <w:iCs w:val="0"/>
          <w:caps w:val="0"/>
          <w:color w:val="666666"/>
          <w:spacing w:val="0"/>
          <w:sz w:val="21"/>
          <w:szCs w:val="21"/>
          <w:u w:val="none"/>
          <w:bdr w:val="none" w:color="auto" w:sz="0" w:space="0"/>
        </w:rPr>
        <w:fldChar w:fldCharType="separate"/>
      </w:r>
      <w:r>
        <w:rPr>
          <w:rStyle w:val="5"/>
          <w:rFonts w:hint="default" w:ascii="Helvetica" w:hAnsi="Helvetica" w:eastAsia="Helvetica" w:cs="Helvetica"/>
          <w:i w:val="0"/>
          <w:iCs w:val="0"/>
          <w:caps w:val="0"/>
          <w:color w:val="000000"/>
          <w:spacing w:val="0"/>
          <w:sz w:val="28"/>
          <w:szCs w:val="28"/>
          <w:u w:val="single"/>
          <w:bdr w:val="none" w:color="auto" w:sz="0" w:space="0"/>
        </w:rPr>
        <w:t>https://www.taobao.com/market/paimai/sf-helpcenter.php?path=sf-hc-right-content5#q1</w:t>
      </w:r>
      <w:r>
        <w:rPr>
          <w:rFonts w:hint="default" w:ascii="Helvetica" w:hAnsi="Helvetica" w:eastAsia="Helvetica" w:cs="Helvetica"/>
          <w:i w:val="0"/>
          <w:iCs w:val="0"/>
          <w:caps w:val="0"/>
          <w:color w:val="666666"/>
          <w:spacing w:val="0"/>
          <w:sz w:val="21"/>
          <w:szCs w:val="21"/>
          <w:u w:val="none"/>
          <w:bdr w:val="none" w:color="auto" w:sz="0" w:space="0"/>
        </w:rPr>
        <w:fldChar w:fldCharType="end"/>
      </w:r>
    </w:p>
    <w:p w14:paraId="78AE313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5、</w:t>
      </w:r>
      <w:r>
        <w:rPr>
          <w:rFonts w:hint="default" w:ascii="Helvetica" w:hAnsi="Helvetica" w:eastAsia="Helvetica" w:cs="Helvetica"/>
          <w:b/>
          <w:bCs/>
          <w:i w:val="0"/>
          <w:iCs w:val="0"/>
          <w:caps w:val="0"/>
          <w:color w:val="000000"/>
          <w:spacing w:val="0"/>
          <w:sz w:val="28"/>
          <w:szCs w:val="28"/>
          <w:bdr w:val="none" w:color="auto" w:sz="0" w:space="0"/>
        </w:rPr>
        <w:t>拍卖成交后买受人悔拍的（包括但不限于买受人逾期未支付拍卖款），交纳的保证金不予退还</w:t>
      </w:r>
      <w:r>
        <w:rPr>
          <w:rFonts w:hint="default" w:ascii="Helvetica" w:hAnsi="Helvetica" w:eastAsia="Helvetica" w:cs="Helvetica"/>
          <w:i w:val="0"/>
          <w:iCs w:val="0"/>
          <w:caps w:val="0"/>
          <w:color w:val="000000"/>
          <w:spacing w:val="0"/>
          <w:sz w:val="28"/>
          <w:szCs w:val="28"/>
          <w:bdr w:val="none" w:color="auto" w:sz="0" w:space="0"/>
        </w:rPr>
        <w:t>，</w:t>
      </w:r>
      <w:r>
        <w:rPr>
          <w:rFonts w:hint="default" w:ascii="Helvetica" w:hAnsi="Helvetica" w:eastAsia="Helvetica" w:cs="Helvetica"/>
          <w:b/>
          <w:bCs/>
          <w:i w:val="0"/>
          <w:iCs w:val="0"/>
          <w:caps w:val="0"/>
          <w:color w:val="000000"/>
          <w:spacing w:val="0"/>
          <w:sz w:val="28"/>
          <w:szCs w:val="28"/>
          <w:bdr w:val="none" w:color="auto" w:sz="0" w:space="0"/>
        </w:rPr>
        <w:t>依次用于支付拍卖产生的费用损失、弥补重新拍卖价款低于原拍卖价款的差价、冲抵本案的债务等。保证金数额不足以弥补拍卖费用损失以及重新拍卖价款低于原拍卖价款的差价的，管理人依法向悔拍人追索</w:t>
      </w:r>
      <w:r>
        <w:rPr>
          <w:rFonts w:hint="default" w:ascii="Helvetica" w:hAnsi="Helvetica" w:eastAsia="Helvetica" w:cs="Helvetica"/>
          <w:i w:val="0"/>
          <w:iCs w:val="0"/>
          <w:caps w:val="0"/>
          <w:color w:val="000000"/>
          <w:spacing w:val="0"/>
          <w:sz w:val="28"/>
          <w:szCs w:val="28"/>
          <w:bdr w:val="none" w:color="auto" w:sz="0" w:space="0"/>
        </w:rPr>
        <w:t>。</w:t>
      </w:r>
    </w:p>
    <w:p w14:paraId="1F32BCB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000000"/>
          <w:spacing w:val="0"/>
          <w:sz w:val="28"/>
          <w:szCs w:val="28"/>
          <w:bdr w:val="none" w:color="auto" w:sz="0" w:space="0"/>
        </w:rPr>
        <w:t>九、拍品交付</w:t>
      </w:r>
    </w:p>
    <w:p w14:paraId="770147F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买受人在全额支付完所有款项后，五个工作日内凭付款凭证和身份资料前往管理人处签署《债权转让协议书》文件，签署《债权转让协议书》后视为交付完成。</w:t>
      </w:r>
    </w:p>
    <w:p w14:paraId="5E123AF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最终标的物的具体情况及现状以拍卖成交后移交时的情况及现状为准，即使出现与公告不一致以及本公告未披露的瑕疵，买受人对此均不得提任何异议，且拍卖成交价不做任何调整。</w:t>
      </w:r>
    </w:p>
    <w:p w14:paraId="360CA7C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000000"/>
          <w:spacing w:val="0"/>
          <w:sz w:val="28"/>
          <w:szCs w:val="28"/>
          <w:bdr w:val="none" w:color="auto" w:sz="0" w:space="0"/>
        </w:rPr>
        <w:t>十、参加竞买的人应当遵守拍卖须知的规定</w:t>
      </w:r>
      <w:r>
        <w:rPr>
          <w:rFonts w:hint="default" w:ascii="Helvetica" w:hAnsi="Helvetica" w:eastAsia="Helvetica" w:cs="Helvetica"/>
          <w:i w:val="0"/>
          <w:iCs w:val="0"/>
          <w:caps w:val="0"/>
          <w:color w:val="000000"/>
          <w:spacing w:val="0"/>
          <w:sz w:val="28"/>
          <w:szCs w:val="28"/>
          <w:bdr w:val="none" w:color="auto" w:sz="0" w:space="0"/>
        </w:rPr>
        <w:t>，不得阻挠其他竞买人竞拍，不得操纵、垄断竞拍价格，严禁竞买人恶意串标，上述行为一经发现，将取消其竞买资格，并追究相关的法律责任。</w:t>
      </w:r>
    </w:p>
    <w:p w14:paraId="49C8A7C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8"/>
          <w:szCs w:val="28"/>
          <w:bdr w:val="none" w:color="auto" w:sz="0" w:space="0"/>
        </w:rPr>
        <w:t>十一、参照法释〔2016〕18号《最高人民法院关于人民法院网络司法拍卖若干问题的规定》，竞买人成功竞得拍卖标的物后，破产强清平台将在管理人后台生成相应《网络竞价成功确认书》，确认书中载明实际买受人姓名、网拍竞买号信息，但不进行公示。</w:t>
      </w:r>
    </w:p>
    <w:p w14:paraId="7A0A057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十二、人民法院、管理人根据法律规定有权暂缓拍卖、中止拍卖或撤回拍卖，变更拍卖时间的，将在淘宝平台网司法拍卖网络平台重新公告。</w:t>
      </w:r>
    </w:p>
    <w:p w14:paraId="5013B13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十三</w:t>
      </w:r>
      <w:r>
        <w:rPr>
          <w:rFonts w:hint="default" w:ascii="Helvetica" w:hAnsi="Helvetica" w:eastAsia="Helvetica" w:cs="Helvetica"/>
          <w:b/>
          <w:bCs/>
          <w:i w:val="0"/>
          <w:iCs w:val="0"/>
          <w:caps w:val="0"/>
          <w:color w:val="000000"/>
          <w:spacing w:val="0"/>
          <w:sz w:val="28"/>
          <w:szCs w:val="28"/>
          <w:bdr w:val="none" w:color="auto" w:sz="0" w:space="0"/>
        </w:rPr>
        <w:t>、</w:t>
      </w:r>
      <w:r>
        <w:rPr>
          <w:rFonts w:hint="default" w:ascii="Helvetica" w:hAnsi="Helvetica" w:eastAsia="Helvetica" w:cs="Helvetica"/>
          <w:i w:val="0"/>
          <w:iCs w:val="0"/>
          <w:caps w:val="0"/>
          <w:color w:val="000000"/>
          <w:spacing w:val="0"/>
          <w:sz w:val="28"/>
          <w:szCs w:val="28"/>
          <w:bdr w:val="none" w:color="auto" w:sz="0" w:space="0"/>
        </w:rPr>
        <w:t>凡发现拍卖中有违规行为，可如实举报。</w:t>
      </w:r>
    </w:p>
    <w:p w14:paraId="5C391F4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 </w:t>
      </w:r>
    </w:p>
    <w:p w14:paraId="1A5B5CD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本公告未尽事宜，请致电咨询。</w:t>
      </w:r>
    </w:p>
    <w:p w14:paraId="0F46994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管理人咨询电话：范老师17320484190</w:t>
      </w:r>
    </w:p>
    <w:p w14:paraId="66DB877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辅助拍卖机构：谭老师  18323576965</w:t>
      </w:r>
    </w:p>
    <w:p w14:paraId="77C1856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8"/>
          <w:szCs w:val="28"/>
          <w:bdr w:val="none" w:color="auto" w:sz="0" w:space="0"/>
        </w:rPr>
        <w:t>重庆市高级人民法院监督电话：023-67673247、023-67673497</w:t>
      </w:r>
    </w:p>
    <w:p w14:paraId="47AB1D7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8"/>
          <w:szCs w:val="28"/>
          <w:bdr w:val="none" w:color="auto" w:sz="0" w:space="0"/>
        </w:rPr>
        <w:t>淘宝技术咨询电话：400-822-2870</w:t>
      </w:r>
      <w:r>
        <w:rPr>
          <w:rFonts w:hint="default" w:ascii="Helvetica" w:hAnsi="Helvetica" w:eastAsia="Helvetica" w:cs="Helvetica"/>
          <w:i w:val="0"/>
          <w:iCs w:val="0"/>
          <w:caps w:val="0"/>
          <w:color w:val="000000"/>
          <w:spacing w:val="0"/>
          <w:sz w:val="28"/>
          <w:szCs w:val="28"/>
          <w:bdr w:val="none" w:color="auto" w:sz="0" w:space="0"/>
        </w:rPr>
        <w:t> </w:t>
      </w:r>
    </w:p>
    <w:p w14:paraId="38C4BF3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1"/>
          <w:szCs w:val="21"/>
          <w:bdr w:val="none" w:color="auto" w:sz="0" w:space="0"/>
        </w:rPr>
        <w:t> </w:t>
      </w:r>
    </w:p>
    <w:p w14:paraId="54B5488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 </w:t>
      </w:r>
    </w:p>
    <w:p w14:paraId="2E4D43C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right"/>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重庆五矿机械进出口有限公司管理人</w:t>
      </w:r>
    </w:p>
    <w:p w14:paraId="0F2218C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right"/>
        <w:rPr>
          <w:rFonts w:hint="eastAsia" w:ascii="Helvetica" w:hAnsi="Helvetica" w:eastAsia="Helvetica" w:cs="Helvetica"/>
          <w:i w:val="0"/>
          <w:iCs w:val="0"/>
          <w:caps w:val="0"/>
          <w:color w:val="666666"/>
          <w:spacing w:val="0"/>
          <w:sz w:val="21"/>
          <w:szCs w:val="21"/>
        </w:rPr>
      </w:pPr>
      <w:bookmarkStart w:id="0" w:name="_GoBack"/>
      <w:bookmarkEnd w:id="0"/>
      <w:r>
        <w:rPr>
          <w:rFonts w:hint="default" w:ascii="Helvetica" w:hAnsi="Helvetica" w:eastAsia="Helvetica" w:cs="Helvetica"/>
          <w:i w:val="0"/>
          <w:iCs w:val="0"/>
          <w:caps w:val="0"/>
          <w:color w:val="000000"/>
          <w:spacing w:val="0"/>
          <w:sz w:val="28"/>
          <w:szCs w:val="28"/>
          <w:bdr w:val="none" w:color="auto" w:sz="0" w:space="0"/>
        </w:rPr>
        <w:t>2026年4月1日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KSOFB4AB0A6B">
    <w:panose1 w:val="020B0704020202020204"/>
    <w:charset w:val="00"/>
    <w:family w:val="auto"/>
    <w:pitch w:val="default"/>
    <w:sig w:usb0="00000001" w:usb1="00000000" w:usb2="00000000" w:usb3="00000000" w:csb0="00000001" w:csb1="00000000"/>
  </w:font>
  <w:font w:name="KSOF7FC4CF2A">
    <w:panose1 w:val="020B0604020202020204"/>
    <w:charset w:val="00"/>
    <w:family w:val="auto"/>
    <w:pitch w:val="default"/>
    <w:sig w:usb0="00000001"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842887"/>
    <w:rsid w:val="0548643E"/>
    <w:rsid w:val="1F623A6A"/>
    <w:rsid w:val="1FC7368D"/>
    <w:rsid w:val="2251554A"/>
    <w:rsid w:val="28266B51"/>
    <w:rsid w:val="3DD32C78"/>
    <w:rsid w:val="52F7756C"/>
    <w:rsid w:val="581E5F10"/>
    <w:rsid w:val="5E9A5820"/>
    <w:rsid w:val="66063E6E"/>
    <w:rsid w:val="66DD6810"/>
    <w:rsid w:val="6E8428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944</Words>
  <Characters>981</Characters>
  <Lines>0</Lines>
  <Paragraphs>0</Paragraphs>
  <TotalTime>1</TotalTime>
  <ScaleCrop>false</ScaleCrop>
  <LinksUpToDate>false</LinksUpToDate>
  <CharactersWithSpaces>981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2026-03-06T11:19:00Z</dcterms:created>
  <dc:creator>.</dc:creator>
  <cp:lastModifiedBy>琴琴</cp:lastModifiedBy>
  <dcterms:modified xsi:type="dcterms:W3CDTF">2026-04-02T03:23:30Z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DA1077CD256140ED8213BCE7527FEABC_13</vt:lpwstr>
  </property>
  <property fmtid="{D5CDD505-2E9C-101B-9397-08002B2CF9AE}" pid="4" name="KSOTemplateDocerSaveRecord">
    <vt:lpwstr>eyJoZGlkIjoiNTM2NGUzYmIyMjIxNzgzMjJhNmY4NDc2NDk5MGNjNDIiLCJ1c2VySWQiOiI5NTE2MzU2NDEifQ==</vt:lpwstr>
  </property>
</Properties>
</file>