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90B624">
      <w:pPr>
        <w:jc w:val="center"/>
        <w:rPr>
          <w:rFonts w:hint="eastAsia" w:ascii="方正仿宋_GB2312" w:hAnsi="方正仿宋_GB2312" w:eastAsia="方正仿宋_GB2312" w:cs="方正仿宋_GB2312"/>
        </w:rPr>
      </w:pPr>
      <w:bookmarkStart w:id="0" w:name="_GoBack"/>
      <w:r>
        <w:rPr>
          <w:rFonts w:hint="eastAsia" w:ascii="方正仿宋_GB2312" w:hAnsi="方正仿宋_GB2312" w:eastAsia="方正仿宋_GB2312" w:cs="方正仿宋_GB2312"/>
        </w:rPr>
        <w:br w:type="textWrapping"/>
      </w:r>
      <w:r>
        <w:rPr>
          <w:rFonts w:hint="eastAsia" w:ascii="方正仿宋_GB2312" w:hAnsi="方正仿宋_GB2312" w:eastAsia="方正仿宋_GB2312" w:cs="方正仿宋_GB2312"/>
        </w:rPr>
        <w:t>标的物介绍</w:t>
      </w:r>
    </w:p>
    <w:tbl>
      <w:tblPr>
        <w:tblStyle w:val="13"/>
        <w:tblW w:w="5000"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1808"/>
        <w:gridCol w:w="6714"/>
      </w:tblGrid>
      <w:tr w14:paraId="4D7A5FA4">
        <w:trPr>
          <w:jc w:val="center"/>
        </w:trPr>
        <w:tc>
          <w:tcPr>
            <w:tcW w:w="105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4A8391B">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标的名称</w:t>
            </w:r>
          </w:p>
        </w:tc>
        <w:tc>
          <w:tcPr>
            <w:tcW w:w="390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4A372DD">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存放于景东里竹山铁矿有限责任公司的铁矿石</w:t>
            </w:r>
          </w:p>
        </w:tc>
      </w:tr>
      <w:tr w14:paraId="6FFFDDCC">
        <w:trPr>
          <w:jc w:val="center"/>
        </w:trPr>
        <w:tc>
          <w:tcPr>
            <w:tcW w:w="105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AB3FF8D">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标的所有人</w:t>
            </w:r>
          </w:p>
        </w:tc>
        <w:tc>
          <w:tcPr>
            <w:tcW w:w="390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65FB06C">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昆明安宁永昌物资经贸集团有限公司</w:t>
            </w:r>
          </w:p>
        </w:tc>
      </w:tr>
      <w:tr w14:paraId="7EF0A6E7">
        <w:trPr>
          <w:jc w:val="center"/>
        </w:trPr>
        <w:tc>
          <w:tcPr>
            <w:tcW w:w="105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5ECCEA6">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评估相关信息</w:t>
            </w:r>
          </w:p>
        </w:tc>
        <w:tc>
          <w:tcPr>
            <w:tcW w:w="390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C093BE">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详见附件</w:t>
            </w:r>
          </w:p>
        </w:tc>
      </w:tr>
      <w:tr w14:paraId="61186887">
        <w:trPr>
          <w:jc w:val="center"/>
        </w:trPr>
        <w:tc>
          <w:tcPr>
            <w:tcW w:w="105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13FE5AC">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标的描述</w:t>
            </w:r>
          </w:p>
        </w:tc>
        <w:tc>
          <w:tcPr>
            <w:tcW w:w="390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5AFE22">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存放于景东景东里竹山铁矿有限责任公司结果分别为存放于景东里竹山铁矿有限责任公司的铁矿石库存量为干重17,094.01吨，Fe品位13.48%。</w:t>
            </w:r>
          </w:p>
          <w:p w14:paraId="2CD42190">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注意：标的物以实物现状为准，管理人不承担本标的任何瑕疵担保责任（包括干重数量、品位等），均按现状进行拍卖。</w:t>
            </w:r>
          </w:p>
        </w:tc>
      </w:tr>
      <w:tr w14:paraId="06E6729A">
        <w:trPr>
          <w:jc w:val="center"/>
        </w:trPr>
        <w:tc>
          <w:tcPr>
            <w:tcW w:w="105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06EED5F">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备注</w:t>
            </w:r>
          </w:p>
        </w:tc>
        <w:tc>
          <w:tcPr>
            <w:tcW w:w="3900"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94FF53">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1.标的物以实物现状为准，管理人不承担本标的任何瑕疵担保责任（包括干重数量、品位等），均按现状进行拍卖。有意者请亲自实地看样，未看样的竞买人视为对本标的实物现状的确认，责任自负。</w:t>
            </w:r>
          </w:p>
          <w:p w14:paraId="0113D445">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2.拍卖成交后管理人不提供运输服务；移交时所产生的过磅费、装卸费、运输费及其他所有费用均由买受人自行承担。</w:t>
            </w:r>
          </w:p>
          <w:p w14:paraId="70C31416">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3、买受人需于成交之日起15日内将矿石运出，腾空场地，逾期不腾空场地造成的一切费用和损失由买受人自行承担。</w:t>
            </w:r>
          </w:p>
        </w:tc>
      </w:tr>
    </w:tbl>
    <w:p w14:paraId="51C73E75">
      <w:pPr>
        <w:rPr>
          <w:rFonts w:hint="eastAsia" w:ascii="方正仿宋_GB2312" w:hAnsi="方正仿宋_GB2312" w:eastAsia="方正仿宋_GB2312" w:cs="方正仿宋_GB2312"/>
        </w:rPr>
      </w:pPr>
    </w:p>
    <w:p w14:paraId="63B3F767">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p w14:paraId="0A270FA6">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tbl>
      <w:tblPr>
        <w:tblStyle w:val="13"/>
        <w:tblW w:w="0" w:type="auto"/>
        <w:tblInd w:w="88" w:type="dxa"/>
        <w:tblBorders>
          <w:top w:val="dotted" w:color="D3D3D3" w:sz="6" w:space="0"/>
          <w:left w:val="dotted" w:color="D3D3D3" w:sz="6" w:space="0"/>
          <w:bottom w:val="dotted" w:color="D3D3D3" w:sz="6" w:space="0"/>
          <w:right w:val="dotted" w:color="D3D3D3" w:sz="6" w:space="0"/>
          <w:insideH w:val="none" w:color="auto" w:sz="0" w:space="0"/>
          <w:insideV w:val="none" w:color="auto" w:sz="0" w:space="0"/>
        </w:tblBorders>
        <w:tblLayout w:type="autofit"/>
        <w:tblCellMar>
          <w:top w:w="0" w:type="dxa"/>
          <w:left w:w="0" w:type="dxa"/>
          <w:bottom w:w="0" w:type="dxa"/>
          <w:right w:w="0" w:type="dxa"/>
        </w:tblCellMar>
      </w:tblPr>
      <w:tblGrid>
        <w:gridCol w:w="710"/>
        <w:gridCol w:w="970"/>
        <w:gridCol w:w="888"/>
        <w:gridCol w:w="1236"/>
        <w:gridCol w:w="947"/>
        <w:gridCol w:w="1365"/>
        <w:gridCol w:w="1607"/>
        <w:gridCol w:w="711"/>
      </w:tblGrid>
      <w:tr w14:paraId="2A8A013E">
        <w:trPr>
          <w:trHeight w:val="300" w:hRule="atLeast"/>
        </w:trPr>
        <w:tc>
          <w:tcPr>
            <w:tcW w:w="1196"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79015FE">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序号</w:t>
            </w:r>
          </w:p>
        </w:tc>
        <w:tc>
          <w:tcPr>
            <w:tcW w:w="1917"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DA87E14">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存放地点</w:t>
            </w:r>
          </w:p>
        </w:tc>
        <w:tc>
          <w:tcPr>
            <w:tcW w:w="1691"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13F97FB6">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名称</w:t>
            </w:r>
          </w:p>
        </w:tc>
        <w:tc>
          <w:tcPr>
            <w:tcW w:w="1923"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5A536AA">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铁品位（%）</w:t>
            </w:r>
          </w:p>
        </w:tc>
        <w:tc>
          <w:tcPr>
            <w:tcW w:w="1855"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E2F17E3">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计量单位</w:t>
            </w:r>
          </w:p>
        </w:tc>
        <w:tc>
          <w:tcPr>
            <w:tcW w:w="1676"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FB42A2B">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实际数量</w:t>
            </w:r>
          </w:p>
        </w:tc>
        <w:tc>
          <w:tcPr>
            <w:tcW w:w="203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DC29121">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评估价值</w:t>
            </w:r>
          </w:p>
        </w:tc>
        <w:tc>
          <w:tcPr>
            <w:tcW w:w="1196" w:type="dxa"/>
            <w:vMerge w:val="restart"/>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C469334">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备注</w:t>
            </w:r>
          </w:p>
        </w:tc>
      </w:tr>
      <w:tr w14:paraId="2CD8AE52">
        <w:trPr>
          <w:trHeight w:val="640" w:hRule="atLeast"/>
        </w:trPr>
        <w:tc>
          <w:tcPr>
            <w:tcW w:w="0" w:type="auto"/>
            <w:vMerge w:val="continue"/>
            <w:tcBorders>
              <w:top w:val="single" w:color="000000" w:sz="8" w:space="0"/>
              <w:left w:val="single" w:color="000000" w:sz="8" w:space="0"/>
              <w:bottom w:val="single" w:color="000000" w:sz="8" w:space="0"/>
              <w:right w:val="single" w:color="000000" w:sz="8" w:space="0"/>
            </w:tcBorders>
            <w:vAlign w:val="center"/>
          </w:tcPr>
          <w:p w14:paraId="0B5E68B7">
            <w:pPr>
              <w:rPr>
                <w:rFonts w:hint="eastAsia" w:ascii="方正仿宋_GB2312" w:hAnsi="方正仿宋_GB2312" w:eastAsia="方正仿宋_GB2312" w:cs="方正仿宋_GB2312"/>
              </w:rPr>
            </w:pPr>
          </w:p>
        </w:tc>
        <w:tc>
          <w:tcPr>
            <w:tcW w:w="0" w:type="auto"/>
            <w:vMerge w:val="continue"/>
            <w:tcBorders>
              <w:top w:val="single" w:color="000000" w:sz="8" w:space="0"/>
              <w:left w:val="single" w:color="000000" w:sz="8" w:space="0"/>
              <w:bottom w:val="single" w:color="000000" w:sz="8" w:space="0"/>
              <w:right w:val="single" w:color="000000" w:sz="8" w:space="0"/>
            </w:tcBorders>
            <w:vAlign w:val="center"/>
          </w:tcPr>
          <w:p w14:paraId="3FE3E901">
            <w:pPr>
              <w:rPr>
                <w:rFonts w:hint="eastAsia" w:ascii="方正仿宋_GB2312" w:hAnsi="方正仿宋_GB2312" w:eastAsia="方正仿宋_GB2312" w:cs="方正仿宋_GB2312"/>
              </w:rPr>
            </w:pPr>
          </w:p>
        </w:tc>
        <w:tc>
          <w:tcPr>
            <w:tcW w:w="0" w:type="auto"/>
            <w:vMerge w:val="continue"/>
            <w:tcBorders>
              <w:top w:val="single" w:color="000000" w:sz="8" w:space="0"/>
              <w:left w:val="single" w:color="000000" w:sz="8" w:space="0"/>
              <w:bottom w:val="single" w:color="000000" w:sz="8" w:space="0"/>
              <w:right w:val="single" w:color="000000" w:sz="8" w:space="0"/>
            </w:tcBorders>
            <w:vAlign w:val="center"/>
          </w:tcPr>
          <w:p w14:paraId="256EB1DE">
            <w:pPr>
              <w:rPr>
                <w:rFonts w:hint="eastAsia" w:ascii="方正仿宋_GB2312" w:hAnsi="方正仿宋_GB2312" w:eastAsia="方正仿宋_GB2312" w:cs="方正仿宋_GB2312"/>
              </w:rPr>
            </w:pPr>
          </w:p>
        </w:tc>
        <w:tc>
          <w:tcPr>
            <w:tcW w:w="0" w:type="auto"/>
            <w:vMerge w:val="continue"/>
            <w:tcBorders>
              <w:top w:val="single" w:color="000000" w:sz="8" w:space="0"/>
              <w:left w:val="single" w:color="000000" w:sz="8" w:space="0"/>
              <w:bottom w:val="single" w:color="000000" w:sz="8" w:space="0"/>
              <w:right w:val="single" w:color="000000" w:sz="8" w:space="0"/>
            </w:tcBorders>
            <w:vAlign w:val="center"/>
          </w:tcPr>
          <w:p w14:paraId="22AA57B5">
            <w:pPr>
              <w:rPr>
                <w:rFonts w:hint="eastAsia" w:ascii="方正仿宋_GB2312" w:hAnsi="方正仿宋_GB2312" w:eastAsia="方正仿宋_GB2312" w:cs="方正仿宋_GB2312"/>
              </w:rPr>
            </w:pPr>
          </w:p>
        </w:tc>
        <w:tc>
          <w:tcPr>
            <w:tcW w:w="0" w:type="auto"/>
            <w:vMerge w:val="continue"/>
            <w:tcBorders>
              <w:top w:val="single" w:color="000000" w:sz="8" w:space="0"/>
              <w:left w:val="single" w:color="000000" w:sz="8" w:space="0"/>
              <w:bottom w:val="single" w:color="000000" w:sz="8" w:space="0"/>
              <w:right w:val="single" w:color="000000" w:sz="8" w:space="0"/>
            </w:tcBorders>
            <w:vAlign w:val="center"/>
          </w:tcPr>
          <w:p w14:paraId="7BF38E38">
            <w:pPr>
              <w:rPr>
                <w:rFonts w:hint="eastAsia" w:ascii="方正仿宋_GB2312" w:hAnsi="方正仿宋_GB2312" w:eastAsia="方正仿宋_GB2312" w:cs="方正仿宋_GB2312"/>
              </w:rPr>
            </w:pPr>
          </w:p>
        </w:tc>
        <w:tc>
          <w:tcPr>
            <w:tcW w:w="0" w:type="auto"/>
            <w:vMerge w:val="continue"/>
            <w:tcBorders>
              <w:top w:val="single" w:color="000000" w:sz="8" w:space="0"/>
              <w:left w:val="single" w:color="000000" w:sz="8" w:space="0"/>
              <w:bottom w:val="single" w:color="000000" w:sz="8" w:space="0"/>
              <w:right w:val="single" w:color="000000" w:sz="8" w:space="0"/>
            </w:tcBorders>
            <w:vAlign w:val="center"/>
          </w:tcPr>
          <w:p w14:paraId="49A407E2">
            <w:pPr>
              <w:rPr>
                <w:rFonts w:hint="eastAsia" w:ascii="方正仿宋_GB2312" w:hAnsi="方正仿宋_GB2312" w:eastAsia="方正仿宋_GB2312" w:cs="方正仿宋_GB2312"/>
              </w:rPr>
            </w:pPr>
          </w:p>
        </w:tc>
        <w:tc>
          <w:tcPr>
            <w:tcW w:w="203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4CF4796">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rPr>
              <w:t>清算价值</w:t>
            </w:r>
          </w:p>
        </w:tc>
        <w:tc>
          <w:tcPr>
            <w:tcW w:w="0" w:type="auto"/>
            <w:vMerge w:val="continue"/>
            <w:tcBorders>
              <w:top w:val="single" w:color="000000" w:sz="8" w:space="0"/>
              <w:left w:val="single" w:color="000000" w:sz="8" w:space="0"/>
              <w:bottom w:val="single" w:color="000000" w:sz="8" w:space="0"/>
              <w:right w:val="single" w:color="000000" w:sz="8" w:space="0"/>
            </w:tcBorders>
            <w:vAlign w:val="center"/>
          </w:tcPr>
          <w:p w14:paraId="0EFA2135">
            <w:pPr>
              <w:rPr>
                <w:rFonts w:hint="eastAsia" w:ascii="方正仿宋_GB2312" w:hAnsi="方正仿宋_GB2312" w:eastAsia="方正仿宋_GB2312" w:cs="方正仿宋_GB2312"/>
              </w:rPr>
            </w:pPr>
          </w:p>
        </w:tc>
      </w:tr>
      <w:tr w14:paraId="1E7384EE">
        <w:trPr>
          <w:trHeight w:val="300" w:hRule="atLeast"/>
        </w:trPr>
        <w:tc>
          <w:tcPr>
            <w:tcW w:w="11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FA43EE2">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1</w:t>
            </w:r>
          </w:p>
        </w:tc>
        <w:tc>
          <w:tcPr>
            <w:tcW w:w="191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B0D1555">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景东景东里竹山铁矿有限责任公司厂内</w:t>
            </w:r>
          </w:p>
        </w:tc>
        <w:tc>
          <w:tcPr>
            <w:tcW w:w="169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FF81E52">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铁矿石</w:t>
            </w:r>
          </w:p>
        </w:tc>
        <w:tc>
          <w:tcPr>
            <w:tcW w:w="1923"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CAFEB5B">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13.48%</w:t>
            </w:r>
          </w:p>
        </w:tc>
        <w:tc>
          <w:tcPr>
            <w:tcW w:w="18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3E4EB68">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吨</w:t>
            </w:r>
          </w:p>
        </w:tc>
        <w:tc>
          <w:tcPr>
            <w:tcW w:w="167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027DD74">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17,094.01</w:t>
            </w:r>
          </w:p>
        </w:tc>
        <w:tc>
          <w:tcPr>
            <w:tcW w:w="203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7467A1D3">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102,564.00</w:t>
            </w:r>
          </w:p>
        </w:tc>
        <w:tc>
          <w:tcPr>
            <w:tcW w:w="11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6B81111">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质押</w:t>
            </w:r>
          </w:p>
        </w:tc>
      </w:tr>
      <w:tr w14:paraId="4E995440">
        <w:trPr>
          <w:trHeight w:val="300" w:hRule="atLeast"/>
        </w:trPr>
        <w:tc>
          <w:tcPr>
            <w:tcW w:w="11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0BF6A70">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合计</w:t>
            </w:r>
          </w:p>
        </w:tc>
        <w:tc>
          <w:tcPr>
            <w:tcW w:w="1917"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5A632B92">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tc>
        <w:tc>
          <w:tcPr>
            <w:tcW w:w="169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298B548F">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tc>
        <w:tc>
          <w:tcPr>
            <w:tcW w:w="1923"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6137C797">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tc>
        <w:tc>
          <w:tcPr>
            <w:tcW w:w="1855"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3F0DD4C">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tc>
        <w:tc>
          <w:tcPr>
            <w:tcW w:w="167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3A668699">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tc>
        <w:tc>
          <w:tcPr>
            <w:tcW w:w="203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0A467B32">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￥102564.00</w:t>
            </w:r>
          </w:p>
        </w:tc>
        <w:tc>
          <w:tcPr>
            <w:tcW w:w="1196"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14:paraId="4CF0D7F3">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tc>
      </w:tr>
    </w:tbl>
    <w:p w14:paraId="58BAEAEE">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t> </w:t>
      </w:r>
    </w:p>
    <w:bookmarkEnd w:id="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DengXian">
    <w:altName w:val="汉仪中等线KW"/>
    <w:panose1 w:val="00000000000000000000"/>
    <w:charset w:val="00"/>
    <w:family w:val="auto"/>
    <w:pitch w:val="default"/>
    <w:sig w:usb0="00000000" w:usb1="00000000" w:usb2="0000000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Light">
    <w:altName w:val="汉仪中等线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Helvetica Neue">
    <w:panose1 w:val="02000503000000020004"/>
    <w:charset w:val="00"/>
    <w:family w:val="auto"/>
    <w:pitch w:val="default"/>
    <w:sig w:usb0="E50002FF" w:usb1="500079DB" w:usb2="00000010" w:usb3="00000000" w:csb0="00000000" w:csb1="00000000"/>
  </w:font>
  <w:font w:name="方正仿宋_GB2312">
    <w:panose1 w:val="02000000000000000000"/>
    <w:charset w:val="86"/>
    <w:family w:val="auto"/>
    <w:pitch w:val="default"/>
    <w:sig w:usb0="A00002BF" w:usb1="184F6CFA"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874"/>
    <w:rsid w:val="002C2874"/>
    <w:rsid w:val="004E08AF"/>
    <w:rsid w:val="00694853"/>
    <w:rsid w:val="5DE6D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0"/>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1"/>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5"/>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uiPriority w:val="9"/>
    <w:rPr>
      <w:rFonts w:asciiTheme="majorHAnsi" w:hAnsiTheme="majorHAnsi" w:eastAsiaTheme="majorEastAsia" w:cstheme="majorBidi"/>
      <w:color w:val="2F5597" w:themeColor="accent1" w:themeShade="BF"/>
      <w:sz w:val="48"/>
      <w:szCs w:val="48"/>
    </w:rPr>
  </w:style>
  <w:style w:type="character" w:customStyle="1" w:styleId="16">
    <w:name w:val="标题 2 字符"/>
    <w:basedOn w:val="14"/>
    <w:link w:val="3"/>
    <w:semiHidden/>
    <w:uiPriority w:val="9"/>
    <w:rPr>
      <w:rFonts w:asciiTheme="majorHAnsi" w:hAnsiTheme="majorHAnsi" w:eastAsiaTheme="majorEastAsia" w:cstheme="majorBidi"/>
      <w:color w:val="2F5597" w:themeColor="accent1" w:themeShade="BF"/>
      <w:sz w:val="40"/>
      <w:szCs w:val="40"/>
    </w:rPr>
  </w:style>
  <w:style w:type="character" w:customStyle="1" w:styleId="17">
    <w:name w:val="标题 3 字符"/>
    <w:basedOn w:val="14"/>
    <w:link w:val="4"/>
    <w:semiHidden/>
    <w:uiPriority w:val="9"/>
    <w:rPr>
      <w:rFonts w:asciiTheme="majorHAnsi" w:hAnsiTheme="majorHAnsi" w:eastAsiaTheme="majorEastAsia" w:cstheme="majorBidi"/>
      <w:color w:val="2F5597" w:themeColor="accent1" w:themeShade="BF"/>
      <w:sz w:val="32"/>
      <w:szCs w:val="32"/>
    </w:rPr>
  </w:style>
  <w:style w:type="character" w:customStyle="1" w:styleId="18">
    <w:name w:val="标题 4 字符"/>
    <w:basedOn w:val="14"/>
    <w:link w:val="5"/>
    <w:semiHidden/>
    <w:uiPriority w:val="9"/>
    <w:rPr>
      <w:rFonts w:cstheme="majorBidi"/>
      <w:color w:val="2F5597" w:themeColor="accent1" w:themeShade="BF"/>
      <w:sz w:val="28"/>
      <w:szCs w:val="28"/>
    </w:rPr>
  </w:style>
  <w:style w:type="character" w:customStyle="1" w:styleId="19">
    <w:name w:val="标题 5 字符"/>
    <w:basedOn w:val="14"/>
    <w:link w:val="6"/>
    <w:semiHidden/>
    <w:uiPriority w:val="9"/>
    <w:rPr>
      <w:rFonts w:cstheme="majorBidi"/>
      <w:color w:val="2F5597" w:themeColor="accent1" w:themeShade="BF"/>
      <w:sz w:val="24"/>
    </w:rPr>
  </w:style>
  <w:style w:type="character" w:customStyle="1" w:styleId="20">
    <w:name w:val="标题 6 字符"/>
    <w:basedOn w:val="14"/>
    <w:link w:val="7"/>
    <w:semiHidden/>
    <w:uiPriority w:val="9"/>
    <w:rPr>
      <w:rFonts w:cstheme="majorBidi"/>
      <w:b/>
      <w:bCs/>
      <w:color w:val="2F5597" w:themeColor="accent1" w:themeShade="BF"/>
    </w:rPr>
  </w:style>
  <w:style w:type="character" w:customStyle="1" w:styleId="21">
    <w:name w:val="标题 7 字符"/>
    <w:basedOn w:val="14"/>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2F5597" w:themeColor="accent1" w:themeShade="BF"/>
    </w:rPr>
  </w:style>
  <w:style w:type="paragraph" w:styleId="30">
    <w:name w:val="Intense Quote"/>
    <w:basedOn w:val="1"/>
    <w:next w:val="1"/>
    <w:link w:val="31"/>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1">
    <w:name w:val="明显引用 字符"/>
    <w:basedOn w:val="14"/>
    <w:link w:val="30"/>
    <w:uiPriority w:val="30"/>
    <w:rPr>
      <w:i/>
      <w:iCs/>
      <w:color w:val="2F5597" w:themeColor="accent1" w:themeShade="BF"/>
    </w:rPr>
  </w:style>
  <w:style w:type="character" w:customStyle="1" w:styleId="32">
    <w:name w:val="Intense Reference"/>
    <w:basedOn w:val="14"/>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Words>
  <Characters>468</Characters>
  <Lines>3</Lines>
  <Paragraphs>1</Paragraphs>
  <TotalTime>1</TotalTime>
  <ScaleCrop>false</ScaleCrop>
  <LinksUpToDate>false</LinksUpToDate>
  <CharactersWithSpaces>549</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2026-03-31T08:25:00Z</dcterms:created>
  <dc:creator>xiaoya deng</dc:creator>
  <cp:lastModifiedBy>范星儿</cp:lastModifiedBy>
  <dcterms:modified xsi:type="dcterms:W3CDTF">2026-04-01T10:14:20Z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48823D2C4FBD38D97C7FCC69021C7E92_42</vt:lpwstr>
  </property>
</Properties>
</file>