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38A94290" w:rsidR="00D435DB" w:rsidRPr="0045777C" w:rsidRDefault="00D5131E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苏州融熙投资管理顾问有限公司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12621B8F" w14:textId="77777777" w:rsidR="000F1BC8" w:rsidRDefault="000F1BC8" w:rsidP="000F1BC8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58C802E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1、申报人签字/盖章，即确认债权申报文件中填写信息真实有效，可作为管理人在破产清算案中核实债权人身份、债权金额、债权性质的有效信息，如因信息不真实、不完整、不准确，造成任何不利后果的，均由债权人自行承担。</w:t>
      </w:r>
    </w:p>
    <w:p w14:paraId="0C25575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2、申报人提供的受偿账户信息、送达地址及联系方式如有变更，应及时书面通知管理人。管理人将通过微信、短信、电话、邮箱和快递等任意方式与申报人联系，送达本案法律文书，如有财产分配的，将按照上述银行账户信息向债权人汇划破产分配款项。如因上述内容错误或缺失，导致本案法律文书无法送达，或者分配款项无法汇划的，债权人应自行承担相应法律后果。</w:t>
      </w:r>
    </w:p>
    <w:p w14:paraId="0F93F67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3、债权申报登记不构成对债权的确认，也不构成对已过诉讼时效或存在其他失效事由的债权的重新确认。</w:t>
      </w:r>
    </w:p>
    <w:p w14:paraId="3A6277D0" w14:textId="77777777" w:rsidR="000F1BC8" w:rsidRPr="00C9514E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/>
          <w:sz w:val="21"/>
          <w:szCs w:val="21"/>
          <w:lang w:val="en-US"/>
        </w:rPr>
        <w:t>4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、代理人（若有）默认代理权限包括：代为申报债权、与管理人确认债权；承认、放弃、及变更债权申报金额；出席债权人会议，并行使表决权、异议权；接收法律文书；和解；行使债权人的其他权利；代理期限自委托之日起到破产程序终结为止。</w:t>
      </w:r>
      <w:r w:rsidRPr="00C9514E">
        <w:rPr>
          <w:rFonts w:ascii="华文宋体" w:eastAsia="华文宋体" w:hAnsi="华文宋体" w:hint="eastAsia"/>
          <w:sz w:val="21"/>
          <w:szCs w:val="21"/>
          <w:lang w:val="en-US"/>
        </w:rPr>
        <w:t>如有不同，请另行提供授权委托书。</w:t>
      </w:r>
    </w:p>
    <w:p w14:paraId="6E9B3ED3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5、全国企业破产重整案件信息网（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）系破产程序相关信息的法定披露平台。债权人、债务人、社会公众均可输入</w:t>
      </w:r>
      <w:r w:rsidRPr="00A743D8">
        <w:rPr>
          <w:rFonts w:ascii="华文宋体" w:eastAsia="华文宋体" w:hAnsi="华文宋体" w:hint="eastAsia"/>
          <w:sz w:val="21"/>
          <w:szCs w:val="21"/>
          <w:u w:val="single"/>
          <w:lang w:val="en-US"/>
        </w:rPr>
        <w:t>案号/债务人名称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从该网站获取破产案件信息。债权人、债务人未及时访问全国企业破产重整案件信息网（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），造成自身权利未能及时行使，造成的任何后果均由其自行承担。</w:t>
      </w:r>
    </w:p>
    <w:p w14:paraId="54C623C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6、未取得生效裁判文书的申报人，请提供债权产生的经过，提供债权凭证，包括但不限于可证明债权成立及债权金额的微信聊天记录、对账单、欠条、借条、发票等。</w:t>
      </w:r>
    </w:p>
    <w:p w14:paraId="5058791E" w14:textId="77777777" w:rsidR="000F1BC8" w:rsidRPr="0063154C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 w:rsidRPr="002230A5">
        <w:rPr>
          <w:rFonts w:ascii="华文宋体" w:eastAsia="华文宋体" w:hAnsi="华文宋体" w:hint="eastAsia"/>
          <w:b/>
          <w:bCs/>
          <w:sz w:val="21"/>
          <w:szCs w:val="21"/>
        </w:rPr>
        <w:t xml:space="preserve"> </w:t>
      </w:r>
    </w:p>
    <w:p w14:paraId="4E31E533" w14:textId="6D2B4139" w:rsidR="005D7E1A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333E2585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41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FAA4A4D" w14:textId="287F01A3" w:rsidR="003E3171" w:rsidRPr="002F7095" w:rsidRDefault="003E3171" w:rsidP="002F7095">
      <w:pPr>
        <w:widowControl/>
        <w:spacing w:after="160" w:line="278" w:lineRule="auto"/>
        <w:rPr>
          <w:rFonts w:ascii="华文宋体" w:eastAsia="华文宋体" w:hAnsi="华文宋体" w:hint="eastAsia"/>
          <w:sz w:val="21"/>
          <w:szCs w:val="21"/>
        </w:rPr>
      </w:pPr>
    </w:p>
    <w:sectPr w:rsidR="003E3171" w:rsidRPr="002F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3E9"/>
    <w:multiLevelType w:val="hybridMultilevel"/>
    <w:tmpl w:val="509E3248"/>
    <w:lvl w:ilvl="0" w:tplc="997EE2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CC04916"/>
    <w:multiLevelType w:val="hybridMultilevel"/>
    <w:tmpl w:val="CAC0B588"/>
    <w:lvl w:ilvl="0" w:tplc="FC063472">
      <w:start w:val="1"/>
      <w:numFmt w:val="decimal"/>
      <w:lvlText w:val="(%1)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2"/>
  </w:num>
  <w:num w:numId="2" w16cid:durableId="934287464">
    <w:abstractNumId w:val="1"/>
  </w:num>
  <w:num w:numId="3" w16cid:durableId="15909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8586C"/>
    <w:rsid w:val="00097AA8"/>
    <w:rsid w:val="000A7332"/>
    <w:rsid w:val="000C4EB9"/>
    <w:rsid w:val="000D0494"/>
    <w:rsid w:val="000F1BC8"/>
    <w:rsid w:val="00114FC7"/>
    <w:rsid w:val="00136D07"/>
    <w:rsid w:val="00161FD8"/>
    <w:rsid w:val="00180F26"/>
    <w:rsid w:val="001817A7"/>
    <w:rsid w:val="00186008"/>
    <w:rsid w:val="001A246C"/>
    <w:rsid w:val="001B2E61"/>
    <w:rsid w:val="001B7F0B"/>
    <w:rsid w:val="001C0754"/>
    <w:rsid w:val="001C169E"/>
    <w:rsid w:val="001E4EC1"/>
    <w:rsid w:val="001F144B"/>
    <w:rsid w:val="00220720"/>
    <w:rsid w:val="002230A5"/>
    <w:rsid w:val="00233AA8"/>
    <w:rsid w:val="002A4AF1"/>
    <w:rsid w:val="002A6B42"/>
    <w:rsid w:val="002F7095"/>
    <w:rsid w:val="0031021E"/>
    <w:rsid w:val="00342D87"/>
    <w:rsid w:val="00355A9E"/>
    <w:rsid w:val="00387B1C"/>
    <w:rsid w:val="00396422"/>
    <w:rsid w:val="003C091B"/>
    <w:rsid w:val="003E3171"/>
    <w:rsid w:val="00400FA7"/>
    <w:rsid w:val="00402766"/>
    <w:rsid w:val="004F3339"/>
    <w:rsid w:val="0050647D"/>
    <w:rsid w:val="00585C76"/>
    <w:rsid w:val="005D7E1A"/>
    <w:rsid w:val="006142D1"/>
    <w:rsid w:val="00662186"/>
    <w:rsid w:val="00685362"/>
    <w:rsid w:val="0069776A"/>
    <w:rsid w:val="006A25CE"/>
    <w:rsid w:val="006B2918"/>
    <w:rsid w:val="006D1165"/>
    <w:rsid w:val="006D673F"/>
    <w:rsid w:val="006D76E4"/>
    <w:rsid w:val="00701831"/>
    <w:rsid w:val="00731F84"/>
    <w:rsid w:val="007425D0"/>
    <w:rsid w:val="00757CCD"/>
    <w:rsid w:val="00766023"/>
    <w:rsid w:val="00775988"/>
    <w:rsid w:val="007F3916"/>
    <w:rsid w:val="007F6744"/>
    <w:rsid w:val="008754CE"/>
    <w:rsid w:val="00893B9B"/>
    <w:rsid w:val="008E0221"/>
    <w:rsid w:val="008E5239"/>
    <w:rsid w:val="008F4555"/>
    <w:rsid w:val="00976374"/>
    <w:rsid w:val="00977229"/>
    <w:rsid w:val="009B1A45"/>
    <w:rsid w:val="009C30C8"/>
    <w:rsid w:val="009C5E24"/>
    <w:rsid w:val="009D02BE"/>
    <w:rsid w:val="009E084A"/>
    <w:rsid w:val="00A570B1"/>
    <w:rsid w:val="00AC070E"/>
    <w:rsid w:val="00AC724A"/>
    <w:rsid w:val="00AD2EE3"/>
    <w:rsid w:val="00B21D34"/>
    <w:rsid w:val="00C20A5F"/>
    <w:rsid w:val="00C23FE6"/>
    <w:rsid w:val="00C55179"/>
    <w:rsid w:val="00C75AA9"/>
    <w:rsid w:val="00CC1BF5"/>
    <w:rsid w:val="00D435DB"/>
    <w:rsid w:val="00D5131E"/>
    <w:rsid w:val="00DB39A3"/>
    <w:rsid w:val="00DB3B6A"/>
    <w:rsid w:val="00DE0C63"/>
    <w:rsid w:val="00DE33A1"/>
    <w:rsid w:val="00E62FEA"/>
    <w:rsid w:val="00E932EA"/>
    <w:rsid w:val="00EA6B3E"/>
    <w:rsid w:val="00EB2E83"/>
    <w:rsid w:val="00ED0726"/>
    <w:rsid w:val="00EE4812"/>
    <w:rsid w:val="00EF3803"/>
    <w:rsid w:val="00F0109E"/>
    <w:rsid w:val="00F2457F"/>
    <w:rsid w:val="00F26B8E"/>
    <w:rsid w:val="00F46FC7"/>
    <w:rsid w:val="00F65081"/>
    <w:rsid w:val="00F81BC6"/>
    <w:rsid w:val="00FC2A88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8</cp:revision>
  <cp:lastPrinted>2026-03-06T02:22:00Z</cp:lastPrinted>
  <dcterms:created xsi:type="dcterms:W3CDTF">2026-03-06T02:22:00Z</dcterms:created>
  <dcterms:modified xsi:type="dcterms:W3CDTF">2026-04-16T12:17:00Z</dcterms:modified>
</cp:coreProperties>
</file>