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1389D">
      <w:pPr>
        <w:keepNext w:val="0"/>
        <w:keepLines w:val="0"/>
        <w:pageBreakBefore w:val="0"/>
        <w:widowControl/>
        <w:kinsoku w:val="0"/>
        <w:wordWrap/>
        <w:overflowPunct/>
        <w:topLinePunct w:val="0"/>
        <w:autoSpaceDE w:val="0"/>
        <w:autoSpaceDN w:val="0"/>
        <w:bidi w:val="0"/>
        <w:adjustRightInd w:val="0"/>
        <w:snapToGrid w:val="0"/>
        <w:spacing w:before="1" w:line="520" w:lineRule="exact"/>
        <w:jc w:val="center"/>
        <w:textAlignment w:val="baseline"/>
        <w:rPr>
          <w:rFonts w:ascii="黑体" w:hAnsi="黑体" w:eastAsia="黑体" w:cs="黑体"/>
          <w:sz w:val="36"/>
          <w:szCs w:val="36"/>
        </w:rPr>
      </w:pPr>
      <w:r>
        <w:rPr>
          <w:rFonts w:hint="eastAsia" w:ascii="黑体" w:hAnsi="黑体" w:eastAsia="黑体" w:cs="黑体"/>
          <w:sz w:val="36"/>
          <w:szCs w:val="36"/>
          <w:lang w:eastAsia="zh-CN"/>
        </w:rPr>
        <w:t>山东圣菲特钢结构有限公司</w:t>
      </w:r>
      <w:r>
        <w:rPr>
          <w:rFonts w:hint="eastAsia" w:ascii="黑体" w:hAnsi="黑体" w:eastAsia="黑体" w:cs="黑体"/>
          <w:sz w:val="36"/>
          <w:szCs w:val="36"/>
          <w:lang w:val="en-US" w:eastAsia="zh-CN"/>
        </w:rPr>
        <w:t>破产清算</w:t>
      </w:r>
      <w:r>
        <w:rPr>
          <w:rFonts w:ascii="黑体" w:hAnsi="黑体" w:eastAsia="黑体" w:cs="黑体"/>
          <w:sz w:val="36"/>
          <w:szCs w:val="36"/>
        </w:rPr>
        <w:t>案</w:t>
      </w:r>
    </w:p>
    <w:p w14:paraId="48199E14">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520" w:lineRule="exact"/>
        <w:ind w:left="2874"/>
        <w:textAlignment w:val="baseline"/>
        <w:rPr>
          <w:rFonts w:ascii="黑体" w:hAnsi="黑体" w:eastAsia="黑体" w:cs="黑体"/>
          <w:sz w:val="32"/>
          <w:szCs w:val="32"/>
        </w:rPr>
      </w:pPr>
      <w:r>
        <w:rPr>
          <w:rFonts w:hint="eastAsia" w:ascii="华文中宋" w:hAnsi="华文中宋" w:eastAsia="华文中宋" w:cs="华文中宋"/>
          <w:b/>
          <w:bCs/>
          <w:spacing w:val="-7"/>
          <w:sz w:val="44"/>
          <w:szCs w:val="44"/>
        </w:rPr>
        <w:t>债权申报通知书</w:t>
      </w:r>
    </w:p>
    <w:p w14:paraId="0C7B47AC">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32"/>
          <w:szCs w:val="32"/>
        </w:rPr>
      </w:pPr>
    </w:p>
    <w:p w14:paraId="25B8BF9D">
      <w:pPr>
        <w:keepNext w:val="0"/>
        <w:keepLines w:val="0"/>
        <w:pageBreakBefore w:val="0"/>
        <w:widowControl/>
        <w:kinsoku/>
        <w:wordWrap w:val="0"/>
        <w:overflowPunct/>
        <w:topLinePunct w:val="0"/>
        <w:autoSpaceDE/>
        <w:autoSpaceDN/>
        <w:bidi w:val="0"/>
        <w:adjustRightInd w:val="0"/>
        <w:snapToGrid w:val="0"/>
        <w:spacing w:line="600" w:lineRule="exact"/>
        <w:ind w:right="0"/>
        <w:jc w:val="both"/>
        <w:textAlignment w:val="baseline"/>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lang w:eastAsia="zh-CN"/>
        </w:rPr>
        <w:t>山东圣菲特钢结构有限公司</w:t>
      </w:r>
      <w:r>
        <w:rPr>
          <w:rFonts w:hint="eastAsia" w:ascii="仿宋" w:hAnsi="仿宋" w:eastAsia="仿宋" w:cs="仿宋"/>
          <w:spacing w:val="21"/>
          <w:position w:val="26"/>
          <w:sz w:val="28"/>
          <w:szCs w:val="28"/>
        </w:rPr>
        <w:t>债权人：</w:t>
      </w:r>
    </w:p>
    <w:p w14:paraId="0507674D">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lang w:val="en-US" w:eastAsia="en-US"/>
        </w:rPr>
      </w:pPr>
      <w:r>
        <w:rPr>
          <w:rFonts w:hint="eastAsia" w:ascii="仿宋" w:hAnsi="仿宋" w:eastAsia="仿宋" w:cs="仿宋"/>
          <w:spacing w:val="21"/>
          <w:position w:val="26"/>
          <w:sz w:val="28"/>
          <w:szCs w:val="28"/>
          <w:lang w:val="en-US" w:eastAsia="en-US"/>
        </w:rPr>
        <w:t>202</w:t>
      </w:r>
      <w:r>
        <w:rPr>
          <w:rFonts w:hint="eastAsia" w:ascii="仿宋" w:hAnsi="仿宋" w:eastAsia="仿宋" w:cs="仿宋"/>
          <w:spacing w:val="21"/>
          <w:position w:val="26"/>
          <w:sz w:val="28"/>
          <w:szCs w:val="28"/>
          <w:lang w:val="en-US" w:eastAsia="zh-CN"/>
        </w:rPr>
        <w:t>6</w:t>
      </w:r>
      <w:r>
        <w:rPr>
          <w:rFonts w:hint="eastAsia" w:ascii="仿宋" w:hAnsi="仿宋" w:eastAsia="仿宋" w:cs="仿宋"/>
          <w:spacing w:val="21"/>
          <w:position w:val="26"/>
          <w:sz w:val="28"/>
          <w:szCs w:val="28"/>
          <w:lang w:val="en-US" w:eastAsia="en-US"/>
        </w:rPr>
        <w:t>年</w:t>
      </w:r>
      <w:r>
        <w:rPr>
          <w:rFonts w:hint="eastAsia" w:ascii="仿宋" w:hAnsi="仿宋" w:eastAsia="仿宋" w:cs="仿宋"/>
          <w:spacing w:val="21"/>
          <w:position w:val="26"/>
          <w:sz w:val="28"/>
          <w:szCs w:val="28"/>
          <w:lang w:val="en-US" w:eastAsia="zh-CN"/>
        </w:rPr>
        <w:t>2</w:t>
      </w:r>
      <w:r>
        <w:rPr>
          <w:rFonts w:hint="eastAsia" w:ascii="仿宋" w:hAnsi="仿宋" w:eastAsia="仿宋" w:cs="仿宋"/>
          <w:spacing w:val="21"/>
          <w:position w:val="26"/>
          <w:sz w:val="28"/>
          <w:szCs w:val="28"/>
          <w:lang w:val="en-US" w:eastAsia="en-US"/>
        </w:rPr>
        <w:t>月</w:t>
      </w:r>
      <w:r>
        <w:rPr>
          <w:rFonts w:hint="eastAsia" w:ascii="仿宋" w:hAnsi="仿宋" w:eastAsia="仿宋" w:cs="仿宋"/>
          <w:spacing w:val="21"/>
          <w:position w:val="26"/>
          <w:sz w:val="28"/>
          <w:szCs w:val="28"/>
          <w:lang w:val="en-US" w:eastAsia="zh-CN"/>
        </w:rPr>
        <w:t>25</w:t>
      </w:r>
      <w:r>
        <w:rPr>
          <w:rFonts w:hint="eastAsia" w:ascii="仿宋" w:hAnsi="仿宋" w:eastAsia="仿宋" w:cs="仿宋"/>
          <w:spacing w:val="21"/>
          <w:position w:val="26"/>
          <w:sz w:val="28"/>
          <w:szCs w:val="28"/>
          <w:lang w:val="en-US" w:eastAsia="en-US"/>
        </w:rPr>
        <w:t>日，</w:t>
      </w:r>
      <w:r>
        <w:rPr>
          <w:rFonts w:hint="eastAsia" w:ascii="仿宋" w:hAnsi="仿宋" w:eastAsia="仿宋" w:cs="仿宋"/>
          <w:spacing w:val="21"/>
          <w:position w:val="26"/>
          <w:sz w:val="28"/>
          <w:szCs w:val="28"/>
          <w:lang w:val="en-US" w:eastAsia="zh-CN"/>
        </w:rPr>
        <w:t>山东省聊城市茌平区人民法院</w:t>
      </w:r>
      <w:r>
        <w:rPr>
          <w:rFonts w:hint="eastAsia" w:ascii="仿宋" w:hAnsi="仿宋" w:eastAsia="仿宋" w:cs="仿宋"/>
          <w:spacing w:val="21"/>
          <w:position w:val="26"/>
          <w:sz w:val="28"/>
          <w:szCs w:val="28"/>
          <w:lang w:val="en-US" w:eastAsia="en-US"/>
        </w:rPr>
        <w:t>作出(202</w:t>
      </w:r>
      <w:r>
        <w:rPr>
          <w:rFonts w:hint="eastAsia" w:ascii="仿宋" w:hAnsi="仿宋" w:eastAsia="仿宋" w:cs="仿宋"/>
          <w:spacing w:val="21"/>
          <w:position w:val="26"/>
          <w:sz w:val="28"/>
          <w:szCs w:val="28"/>
          <w:lang w:val="en-US" w:eastAsia="zh-CN"/>
        </w:rPr>
        <w:t>6</w:t>
      </w:r>
      <w:r>
        <w:rPr>
          <w:rFonts w:hint="eastAsia" w:ascii="仿宋" w:hAnsi="仿宋" w:eastAsia="仿宋" w:cs="仿宋"/>
          <w:spacing w:val="21"/>
          <w:position w:val="26"/>
          <w:sz w:val="28"/>
          <w:szCs w:val="28"/>
          <w:lang w:val="en-US" w:eastAsia="en-US"/>
        </w:rPr>
        <w:t>)鲁</w:t>
      </w:r>
      <w:r>
        <w:rPr>
          <w:rFonts w:hint="eastAsia" w:ascii="仿宋" w:hAnsi="仿宋" w:eastAsia="仿宋" w:cs="仿宋"/>
          <w:spacing w:val="21"/>
          <w:position w:val="26"/>
          <w:sz w:val="28"/>
          <w:szCs w:val="28"/>
          <w:lang w:val="en-US" w:eastAsia="zh-CN"/>
        </w:rPr>
        <w:t>1503</w:t>
      </w:r>
      <w:r>
        <w:rPr>
          <w:rFonts w:hint="eastAsia" w:ascii="仿宋" w:hAnsi="仿宋" w:eastAsia="仿宋" w:cs="仿宋"/>
          <w:spacing w:val="21"/>
          <w:position w:val="26"/>
          <w:sz w:val="28"/>
          <w:szCs w:val="28"/>
          <w:lang w:val="en-US" w:eastAsia="en-US"/>
        </w:rPr>
        <w:t>破申</w:t>
      </w:r>
      <w:r>
        <w:rPr>
          <w:rFonts w:hint="eastAsia" w:ascii="仿宋" w:hAnsi="仿宋" w:eastAsia="仿宋" w:cs="仿宋"/>
          <w:spacing w:val="21"/>
          <w:position w:val="26"/>
          <w:sz w:val="28"/>
          <w:szCs w:val="28"/>
          <w:lang w:val="en-US" w:eastAsia="zh-CN"/>
        </w:rPr>
        <w:t>1</w:t>
      </w:r>
      <w:r>
        <w:rPr>
          <w:rFonts w:hint="eastAsia" w:ascii="仿宋" w:hAnsi="仿宋" w:eastAsia="仿宋" w:cs="仿宋"/>
          <w:spacing w:val="21"/>
          <w:position w:val="26"/>
          <w:sz w:val="28"/>
          <w:szCs w:val="28"/>
          <w:lang w:val="en-US" w:eastAsia="en-US"/>
        </w:rPr>
        <w:t>号</w:t>
      </w:r>
      <w:r>
        <w:rPr>
          <w:rFonts w:hint="eastAsia" w:ascii="仿宋" w:hAnsi="仿宋" w:eastAsia="仿宋" w:cs="仿宋"/>
          <w:spacing w:val="21"/>
          <w:position w:val="26"/>
          <w:sz w:val="28"/>
          <w:szCs w:val="28"/>
          <w:lang w:val="en-US" w:eastAsia="zh-CN"/>
        </w:rPr>
        <w:t>民事裁定书</w:t>
      </w:r>
      <w:r>
        <w:rPr>
          <w:rFonts w:hint="eastAsia" w:ascii="仿宋" w:hAnsi="仿宋" w:eastAsia="仿宋" w:cs="仿宋"/>
          <w:spacing w:val="21"/>
          <w:position w:val="26"/>
          <w:sz w:val="28"/>
          <w:szCs w:val="28"/>
          <w:lang w:val="en-US" w:eastAsia="en-US"/>
        </w:rPr>
        <w:t>，</w:t>
      </w:r>
      <w:r>
        <w:rPr>
          <w:rFonts w:hint="eastAsia" w:ascii="仿宋" w:hAnsi="仿宋" w:eastAsia="仿宋" w:cs="仿宋"/>
          <w:spacing w:val="21"/>
          <w:position w:val="26"/>
          <w:sz w:val="28"/>
          <w:szCs w:val="28"/>
          <w:lang w:val="en-US" w:eastAsia="zh-CN"/>
        </w:rPr>
        <w:t>裁定受理执行转破产移送的对山东圣菲特钢结构有限公司进行破产清算的申请。2026年3月31日，山东省聊城市茌平区人民法院</w:t>
      </w:r>
      <w:r>
        <w:rPr>
          <w:rFonts w:hint="eastAsia" w:ascii="仿宋" w:hAnsi="仿宋" w:eastAsia="仿宋" w:cs="仿宋"/>
          <w:spacing w:val="21"/>
          <w:position w:val="26"/>
          <w:sz w:val="28"/>
          <w:szCs w:val="28"/>
          <w:lang w:val="en-US" w:eastAsia="en-US"/>
        </w:rPr>
        <w:t>作出(202</w:t>
      </w:r>
      <w:r>
        <w:rPr>
          <w:rFonts w:hint="eastAsia" w:ascii="仿宋" w:hAnsi="仿宋" w:eastAsia="仿宋" w:cs="仿宋"/>
          <w:spacing w:val="21"/>
          <w:position w:val="26"/>
          <w:sz w:val="28"/>
          <w:szCs w:val="28"/>
          <w:lang w:val="en-US" w:eastAsia="zh-CN"/>
        </w:rPr>
        <w:t>6</w:t>
      </w:r>
      <w:r>
        <w:rPr>
          <w:rFonts w:hint="eastAsia" w:ascii="仿宋" w:hAnsi="仿宋" w:eastAsia="仿宋" w:cs="仿宋"/>
          <w:spacing w:val="21"/>
          <w:position w:val="26"/>
          <w:sz w:val="28"/>
          <w:szCs w:val="28"/>
          <w:lang w:val="en-US" w:eastAsia="en-US"/>
        </w:rPr>
        <w:t>)鲁</w:t>
      </w:r>
      <w:r>
        <w:rPr>
          <w:rFonts w:hint="eastAsia" w:ascii="仿宋" w:hAnsi="仿宋" w:eastAsia="仿宋" w:cs="仿宋"/>
          <w:spacing w:val="21"/>
          <w:position w:val="26"/>
          <w:sz w:val="28"/>
          <w:szCs w:val="28"/>
          <w:lang w:val="en-US" w:eastAsia="zh-CN"/>
        </w:rPr>
        <w:t>1503</w:t>
      </w:r>
      <w:r>
        <w:rPr>
          <w:rFonts w:hint="eastAsia" w:ascii="仿宋" w:hAnsi="仿宋" w:eastAsia="仿宋" w:cs="仿宋"/>
          <w:spacing w:val="21"/>
          <w:position w:val="26"/>
          <w:sz w:val="28"/>
          <w:szCs w:val="28"/>
          <w:lang w:val="en-US" w:eastAsia="en-US"/>
        </w:rPr>
        <w:t>破</w:t>
      </w:r>
      <w:r>
        <w:rPr>
          <w:rFonts w:hint="eastAsia" w:ascii="仿宋" w:hAnsi="仿宋" w:eastAsia="仿宋" w:cs="仿宋"/>
          <w:spacing w:val="21"/>
          <w:position w:val="26"/>
          <w:sz w:val="28"/>
          <w:szCs w:val="28"/>
          <w:lang w:val="en-US" w:eastAsia="zh-CN"/>
        </w:rPr>
        <w:t>1</w:t>
      </w:r>
      <w:r>
        <w:rPr>
          <w:rFonts w:hint="eastAsia" w:ascii="仿宋" w:hAnsi="仿宋" w:eastAsia="仿宋" w:cs="仿宋"/>
          <w:spacing w:val="21"/>
          <w:position w:val="26"/>
          <w:sz w:val="28"/>
          <w:szCs w:val="28"/>
          <w:lang w:val="en-US" w:eastAsia="en-US"/>
        </w:rPr>
        <w:t>号决定书，决定指定山东舜翔(聊城)律师事务所担任</w:t>
      </w:r>
      <w:r>
        <w:rPr>
          <w:rFonts w:hint="eastAsia" w:ascii="仿宋" w:hAnsi="仿宋" w:eastAsia="仿宋" w:cs="仿宋"/>
          <w:spacing w:val="21"/>
          <w:position w:val="26"/>
          <w:sz w:val="28"/>
          <w:szCs w:val="28"/>
          <w:lang w:val="en-US" w:eastAsia="zh-CN"/>
        </w:rPr>
        <w:t>山东圣菲特钢结构有限公司</w:t>
      </w:r>
      <w:r>
        <w:rPr>
          <w:rFonts w:hint="eastAsia" w:ascii="仿宋" w:hAnsi="仿宋" w:eastAsia="仿宋" w:cs="仿宋"/>
          <w:spacing w:val="21"/>
          <w:position w:val="26"/>
          <w:sz w:val="28"/>
          <w:szCs w:val="28"/>
          <w:lang w:val="en-US" w:eastAsia="en-US"/>
        </w:rPr>
        <w:t>管理人，王衍康</w:t>
      </w:r>
      <w:r>
        <w:rPr>
          <w:rFonts w:hint="eastAsia" w:ascii="仿宋" w:hAnsi="仿宋" w:eastAsia="仿宋" w:cs="仿宋"/>
          <w:spacing w:val="21"/>
          <w:position w:val="26"/>
          <w:sz w:val="28"/>
          <w:szCs w:val="28"/>
          <w:lang w:val="en-US" w:eastAsia="zh-CN"/>
        </w:rPr>
        <w:t>律师为管理人</w:t>
      </w:r>
      <w:r>
        <w:rPr>
          <w:rFonts w:hint="eastAsia" w:ascii="仿宋" w:hAnsi="仿宋" w:eastAsia="仿宋" w:cs="仿宋"/>
          <w:spacing w:val="21"/>
          <w:position w:val="26"/>
          <w:sz w:val="28"/>
          <w:szCs w:val="28"/>
          <w:lang w:val="en-US" w:eastAsia="en-US"/>
        </w:rPr>
        <w:t>负责人。</w:t>
      </w:r>
    </w:p>
    <w:p w14:paraId="0468AAA7">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根据《中华人民共和国企业破产法》第四十八条之规定，债权人应当在人民法院确定的债权申报期间内向</w:t>
      </w:r>
      <w:r>
        <w:rPr>
          <w:rFonts w:hint="eastAsia" w:ascii="仿宋" w:hAnsi="仿宋" w:eastAsia="仿宋" w:cs="仿宋"/>
          <w:spacing w:val="21"/>
          <w:position w:val="26"/>
          <w:sz w:val="28"/>
          <w:szCs w:val="28"/>
          <w:lang w:val="en-US" w:eastAsia="zh-CN"/>
        </w:rPr>
        <w:t>管理人</w:t>
      </w:r>
      <w:r>
        <w:rPr>
          <w:rFonts w:hint="eastAsia" w:ascii="仿宋" w:hAnsi="仿宋" w:eastAsia="仿宋" w:cs="仿宋"/>
          <w:spacing w:val="21"/>
          <w:position w:val="26"/>
          <w:sz w:val="28"/>
          <w:szCs w:val="28"/>
        </w:rPr>
        <w:t>申报债权。为保障</w:t>
      </w:r>
      <w:r>
        <w:rPr>
          <w:rFonts w:hint="eastAsia" w:ascii="仿宋" w:hAnsi="仿宋" w:eastAsia="仿宋" w:cs="仿宋"/>
          <w:spacing w:val="21"/>
          <w:position w:val="26"/>
          <w:sz w:val="28"/>
          <w:szCs w:val="28"/>
          <w:lang w:eastAsia="zh-CN"/>
        </w:rPr>
        <w:t>山东圣菲特钢结构有限公司</w:t>
      </w:r>
      <w:r>
        <w:rPr>
          <w:rFonts w:hint="eastAsia" w:ascii="仿宋" w:hAnsi="仿宋" w:eastAsia="仿宋" w:cs="仿宋"/>
          <w:spacing w:val="21"/>
          <w:position w:val="26"/>
          <w:sz w:val="28"/>
          <w:szCs w:val="28"/>
          <w:lang w:val="en-US" w:eastAsia="zh-CN"/>
        </w:rPr>
        <w:t>破产清算一案</w:t>
      </w:r>
      <w:r>
        <w:rPr>
          <w:rFonts w:hint="eastAsia" w:ascii="仿宋" w:hAnsi="仿宋" w:eastAsia="仿宋" w:cs="仿宋"/>
          <w:spacing w:val="21"/>
          <w:position w:val="26"/>
          <w:sz w:val="28"/>
          <w:szCs w:val="28"/>
        </w:rPr>
        <w:t>的顺利进行，现将债权申报有关事宜通知如下：</w:t>
      </w:r>
    </w:p>
    <w:p w14:paraId="03C2D654">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一、债权申报时间</w:t>
      </w:r>
    </w:p>
    <w:p w14:paraId="71CDB501">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债权人应于202</w:t>
      </w:r>
      <w:r>
        <w:rPr>
          <w:rFonts w:hint="eastAsia" w:ascii="仿宋" w:hAnsi="仿宋" w:eastAsia="仿宋" w:cs="仿宋"/>
          <w:spacing w:val="21"/>
          <w:position w:val="26"/>
          <w:sz w:val="28"/>
          <w:szCs w:val="28"/>
          <w:lang w:val="en-US" w:eastAsia="zh-CN"/>
        </w:rPr>
        <w:t>6</w:t>
      </w:r>
      <w:r>
        <w:rPr>
          <w:rFonts w:hint="eastAsia" w:ascii="仿宋" w:hAnsi="仿宋" w:eastAsia="仿宋" w:cs="仿宋"/>
          <w:spacing w:val="21"/>
          <w:position w:val="26"/>
          <w:sz w:val="28"/>
          <w:szCs w:val="28"/>
        </w:rPr>
        <w:t>年</w:t>
      </w:r>
      <w:r>
        <w:rPr>
          <w:rFonts w:hint="eastAsia" w:ascii="仿宋" w:hAnsi="仿宋" w:eastAsia="仿宋" w:cs="仿宋"/>
          <w:spacing w:val="21"/>
          <w:position w:val="26"/>
          <w:sz w:val="28"/>
          <w:szCs w:val="28"/>
          <w:lang w:val="en-US" w:eastAsia="zh-CN"/>
        </w:rPr>
        <w:t>5</w:t>
      </w:r>
      <w:r>
        <w:rPr>
          <w:rFonts w:hint="eastAsia" w:ascii="仿宋" w:hAnsi="仿宋" w:eastAsia="仿宋" w:cs="仿宋"/>
          <w:spacing w:val="21"/>
          <w:position w:val="26"/>
          <w:sz w:val="28"/>
          <w:szCs w:val="28"/>
        </w:rPr>
        <w:t>月</w:t>
      </w:r>
      <w:r>
        <w:rPr>
          <w:rFonts w:hint="eastAsia" w:ascii="仿宋" w:hAnsi="仿宋" w:eastAsia="仿宋" w:cs="仿宋"/>
          <w:spacing w:val="21"/>
          <w:position w:val="26"/>
          <w:sz w:val="28"/>
          <w:szCs w:val="28"/>
          <w:lang w:val="en-US" w:eastAsia="zh-CN"/>
        </w:rPr>
        <w:t>26</w:t>
      </w:r>
      <w:r>
        <w:rPr>
          <w:rFonts w:hint="eastAsia" w:ascii="仿宋" w:hAnsi="仿宋" w:eastAsia="仿宋" w:cs="仿宋"/>
          <w:spacing w:val="21"/>
          <w:position w:val="26"/>
          <w:sz w:val="28"/>
          <w:szCs w:val="28"/>
        </w:rPr>
        <w:t>日前向</w:t>
      </w:r>
      <w:r>
        <w:rPr>
          <w:rFonts w:hint="eastAsia" w:ascii="仿宋" w:hAnsi="仿宋" w:eastAsia="仿宋" w:cs="仿宋"/>
          <w:spacing w:val="21"/>
          <w:position w:val="26"/>
          <w:sz w:val="28"/>
          <w:szCs w:val="28"/>
          <w:lang w:val="en-US" w:eastAsia="zh-CN"/>
        </w:rPr>
        <w:t>管理人</w:t>
      </w:r>
      <w:r>
        <w:rPr>
          <w:rFonts w:hint="eastAsia" w:ascii="仿宋" w:hAnsi="仿宋" w:eastAsia="仿宋" w:cs="仿宋"/>
          <w:spacing w:val="21"/>
          <w:position w:val="26"/>
          <w:sz w:val="28"/>
          <w:szCs w:val="28"/>
        </w:rPr>
        <w:t>申报权。债权人申报债权时应书面说明债权数额、有无财产担保及是否属于连带债权，并提交有关证明材料。</w:t>
      </w:r>
    </w:p>
    <w:p w14:paraId="794EFD53">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二、债权申报地址、联系人及联系方式</w:t>
      </w:r>
    </w:p>
    <w:p w14:paraId="5F615189">
      <w:pPr>
        <w:keepNext w:val="0"/>
        <w:keepLines w:val="0"/>
        <w:pageBreakBefore w:val="0"/>
        <w:widowControl/>
        <w:kinsoku/>
        <w:wordWrap w:val="0"/>
        <w:overflowPunct/>
        <w:topLinePunct w:val="0"/>
        <w:autoSpaceDE/>
        <w:autoSpaceDN/>
        <w:bidi w:val="0"/>
        <w:adjustRightInd w:val="0"/>
        <w:snapToGrid w:val="0"/>
        <w:spacing w:line="600" w:lineRule="exact"/>
        <w:ind w:right="0" w:firstLine="646" w:firstLineChars="200"/>
        <w:jc w:val="left"/>
        <w:textAlignment w:val="auto"/>
        <w:rPr>
          <w:rFonts w:hint="eastAsia" w:ascii="仿宋" w:hAnsi="仿宋" w:eastAsia="仿宋" w:cs="仿宋"/>
          <w:spacing w:val="21"/>
          <w:position w:val="26"/>
          <w:sz w:val="28"/>
          <w:szCs w:val="28"/>
          <w:lang w:eastAsia="zh-CN"/>
        </w:rPr>
      </w:pPr>
      <w:r>
        <w:rPr>
          <w:rFonts w:hint="eastAsia" w:ascii="仿宋" w:hAnsi="仿宋" w:eastAsia="仿宋" w:cs="仿宋"/>
          <w:b/>
          <w:bCs/>
          <w:spacing w:val="21"/>
          <w:position w:val="26"/>
          <w:sz w:val="28"/>
          <w:szCs w:val="28"/>
        </w:rPr>
        <w:t>申报、联系地址：</w:t>
      </w:r>
      <w:r>
        <w:rPr>
          <w:rFonts w:hint="eastAsia" w:ascii="仿宋" w:hAnsi="仿宋" w:eastAsia="仿宋" w:cs="仿宋"/>
          <w:spacing w:val="21"/>
          <w:position w:val="26"/>
          <w:sz w:val="28"/>
          <w:szCs w:val="28"/>
        </w:rPr>
        <w:t>聊城高新技术产业开发区长江路与燕山路交叉口东北角华建壹街区6号办公楼十楼1005室</w:t>
      </w:r>
      <w:r>
        <w:rPr>
          <w:rFonts w:hint="eastAsia" w:ascii="仿宋" w:hAnsi="仿宋" w:eastAsia="仿宋" w:cs="仿宋"/>
          <w:spacing w:val="21"/>
          <w:position w:val="26"/>
          <w:sz w:val="28"/>
          <w:szCs w:val="28"/>
          <w:lang w:eastAsia="zh-CN"/>
        </w:rPr>
        <w:t>。</w:t>
      </w:r>
    </w:p>
    <w:p w14:paraId="4B718437">
      <w:pPr>
        <w:keepNext w:val="0"/>
        <w:keepLines w:val="0"/>
        <w:pageBreakBefore w:val="0"/>
        <w:widowControl/>
        <w:kinsoku/>
        <w:wordWrap w:val="0"/>
        <w:overflowPunct/>
        <w:topLinePunct w:val="0"/>
        <w:autoSpaceDE/>
        <w:autoSpaceDN/>
        <w:bidi w:val="0"/>
        <w:adjustRightInd w:val="0"/>
        <w:snapToGrid w:val="0"/>
        <w:spacing w:line="600" w:lineRule="exact"/>
        <w:ind w:right="0" w:firstLine="646" w:firstLineChars="200"/>
        <w:jc w:val="left"/>
        <w:textAlignment w:val="auto"/>
        <w:rPr>
          <w:rFonts w:hint="eastAsia" w:ascii="仿宋" w:hAnsi="仿宋" w:eastAsia="仿宋" w:cs="仿宋"/>
          <w:spacing w:val="21"/>
          <w:position w:val="26"/>
          <w:sz w:val="28"/>
          <w:szCs w:val="28"/>
          <w:lang w:eastAsia="zh-CN"/>
        </w:rPr>
      </w:pPr>
      <w:r>
        <w:rPr>
          <w:rFonts w:hint="eastAsia" w:ascii="仿宋" w:hAnsi="仿宋" w:eastAsia="仿宋" w:cs="仿宋"/>
          <w:b/>
          <w:bCs/>
          <w:spacing w:val="21"/>
          <w:position w:val="26"/>
          <w:sz w:val="28"/>
          <w:szCs w:val="28"/>
        </w:rPr>
        <w:t>邮编：</w:t>
      </w:r>
      <w:r>
        <w:rPr>
          <w:rFonts w:hint="eastAsia" w:ascii="仿宋" w:hAnsi="仿宋" w:eastAsia="仿宋" w:cs="仿宋"/>
          <w:spacing w:val="21"/>
          <w:position w:val="26"/>
          <w:sz w:val="28"/>
          <w:szCs w:val="28"/>
        </w:rPr>
        <w:t>252000</w:t>
      </w:r>
      <w:r>
        <w:rPr>
          <w:rFonts w:hint="eastAsia" w:ascii="仿宋" w:hAnsi="仿宋" w:eastAsia="仿宋" w:cs="仿宋"/>
          <w:spacing w:val="21"/>
          <w:position w:val="26"/>
          <w:sz w:val="28"/>
          <w:szCs w:val="28"/>
          <w:lang w:eastAsia="zh-CN"/>
        </w:rPr>
        <w:t>。</w:t>
      </w:r>
    </w:p>
    <w:p w14:paraId="6E3AB268">
      <w:pPr>
        <w:keepNext w:val="0"/>
        <w:keepLines w:val="0"/>
        <w:pageBreakBefore w:val="0"/>
        <w:widowControl/>
        <w:kinsoku/>
        <w:wordWrap w:val="0"/>
        <w:overflowPunct/>
        <w:topLinePunct w:val="0"/>
        <w:autoSpaceDE/>
        <w:autoSpaceDN/>
        <w:bidi w:val="0"/>
        <w:adjustRightInd w:val="0"/>
        <w:snapToGrid w:val="0"/>
        <w:spacing w:line="600" w:lineRule="exact"/>
        <w:ind w:right="0" w:firstLine="646" w:firstLineChars="200"/>
        <w:jc w:val="left"/>
        <w:textAlignment w:val="auto"/>
        <w:rPr>
          <w:rFonts w:hint="eastAsia" w:ascii="仿宋" w:hAnsi="仿宋" w:eastAsia="仿宋" w:cs="仿宋"/>
          <w:spacing w:val="21"/>
          <w:position w:val="26"/>
          <w:sz w:val="28"/>
          <w:szCs w:val="28"/>
          <w:lang w:val="en-US" w:eastAsia="zh-CN"/>
        </w:rPr>
      </w:pPr>
      <w:r>
        <w:rPr>
          <w:rFonts w:hint="eastAsia" w:ascii="仿宋" w:hAnsi="仿宋" w:eastAsia="仿宋" w:cs="仿宋"/>
          <w:b/>
          <w:bCs/>
          <w:spacing w:val="21"/>
          <w:position w:val="26"/>
          <w:sz w:val="28"/>
          <w:szCs w:val="28"/>
        </w:rPr>
        <w:t>联系人：</w:t>
      </w:r>
      <w:r>
        <w:rPr>
          <w:rFonts w:hint="eastAsia" w:ascii="仿宋" w:hAnsi="仿宋" w:eastAsia="仿宋" w:cs="仿宋"/>
          <w:b/>
          <w:bCs/>
          <w:spacing w:val="21"/>
          <w:position w:val="26"/>
          <w:sz w:val="28"/>
          <w:szCs w:val="28"/>
          <w:lang w:val="en-US" w:eastAsia="zh-CN"/>
        </w:rPr>
        <w:t>徐文远 15552175288、吕景坤 17706350662</w:t>
      </w:r>
      <w:r>
        <w:rPr>
          <w:rFonts w:hint="eastAsia" w:ascii="仿宋" w:hAnsi="仿宋" w:eastAsia="仿宋" w:cs="仿宋"/>
          <w:spacing w:val="21"/>
          <w:position w:val="26"/>
          <w:sz w:val="28"/>
          <w:szCs w:val="28"/>
          <w:lang w:val="en-US" w:eastAsia="zh-CN"/>
        </w:rPr>
        <w:t>。</w:t>
      </w:r>
    </w:p>
    <w:p w14:paraId="7D05E4D2">
      <w:pPr>
        <w:keepNext w:val="0"/>
        <w:keepLines w:val="0"/>
        <w:pageBreakBefore w:val="0"/>
        <w:widowControl/>
        <w:kinsoku/>
        <w:wordWrap w:val="0"/>
        <w:overflowPunct/>
        <w:topLinePunct w:val="0"/>
        <w:autoSpaceDE/>
        <w:autoSpaceDN/>
        <w:bidi w:val="0"/>
        <w:adjustRightInd w:val="0"/>
        <w:snapToGrid w:val="0"/>
        <w:spacing w:line="600" w:lineRule="exact"/>
        <w:ind w:right="0" w:firstLine="646"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b/>
          <w:bCs/>
          <w:spacing w:val="21"/>
          <w:position w:val="26"/>
          <w:sz w:val="28"/>
          <w:szCs w:val="28"/>
          <w:lang w:eastAsia="zh-CN"/>
        </w:rPr>
        <w:t>管理人</w:t>
      </w:r>
      <w:r>
        <w:rPr>
          <w:rFonts w:hint="eastAsia" w:ascii="仿宋" w:hAnsi="仿宋" w:eastAsia="仿宋" w:cs="仿宋"/>
          <w:b/>
          <w:bCs/>
          <w:spacing w:val="21"/>
          <w:position w:val="26"/>
          <w:sz w:val="28"/>
          <w:szCs w:val="28"/>
        </w:rPr>
        <w:t>工作时间：</w:t>
      </w:r>
      <w:r>
        <w:rPr>
          <w:rFonts w:hint="eastAsia" w:ascii="仿宋" w:hAnsi="仿宋" w:eastAsia="仿宋" w:cs="仿宋"/>
          <w:spacing w:val="21"/>
          <w:position w:val="26"/>
          <w:sz w:val="28"/>
          <w:szCs w:val="28"/>
        </w:rPr>
        <w:t>工作日上午8:30—12:00,下午14:00—17:30。</w:t>
      </w:r>
    </w:p>
    <w:p w14:paraId="509B21B9">
      <w:pPr>
        <w:keepNext w:val="0"/>
        <w:keepLines w:val="0"/>
        <w:pageBreakBefore w:val="0"/>
        <w:widowControl/>
        <w:kinsoku/>
        <w:wordWrap w:val="0"/>
        <w:overflowPunct/>
        <w:topLinePunct w:val="0"/>
        <w:autoSpaceDE/>
        <w:autoSpaceDN/>
        <w:bidi w:val="0"/>
        <w:adjustRightInd w:val="0"/>
        <w:snapToGrid w:val="0"/>
        <w:spacing w:line="600" w:lineRule="exact"/>
        <w:ind w:right="0" w:firstLine="646" w:firstLineChars="200"/>
        <w:jc w:val="left"/>
        <w:textAlignment w:val="auto"/>
        <w:rPr>
          <w:rFonts w:hint="eastAsia" w:ascii="仿宋" w:hAnsi="仿宋" w:eastAsia="仿宋" w:cs="仿宋"/>
          <w:spacing w:val="21"/>
          <w:position w:val="26"/>
          <w:sz w:val="28"/>
          <w:szCs w:val="28"/>
          <w:lang w:val="en-US" w:eastAsia="zh-CN"/>
        </w:rPr>
      </w:pPr>
      <w:r>
        <w:rPr>
          <w:rFonts w:hint="eastAsia" w:ascii="仿宋" w:hAnsi="仿宋" w:eastAsia="仿宋" w:cs="仿宋"/>
          <w:b/>
          <w:bCs/>
          <w:spacing w:val="21"/>
          <w:position w:val="26"/>
          <w:sz w:val="28"/>
          <w:szCs w:val="28"/>
          <w:lang w:val="en-US" w:eastAsia="zh-CN"/>
        </w:rPr>
        <w:t>备注：</w:t>
      </w:r>
      <w:r>
        <w:rPr>
          <w:rFonts w:hint="eastAsia" w:ascii="仿宋" w:hAnsi="仿宋" w:eastAsia="仿宋" w:cs="仿宋"/>
          <w:spacing w:val="21"/>
          <w:position w:val="26"/>
          <w:sz w:val="28"/>
          <w:szCs w:val="28"/>
          <w:lang w:val="en-US" w:eastAsia="zh-CN"/>
        </w:rPr>
        <w:t>债权人如有特殊情况，须提前主动与管理人联系接洽，另行确定提交申报材料的地点和方式。</w:t>
      </w:r>
    </w:p>
    <w:p w14:paraId="1D5125C2">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三、申报债权应提供的材料</w:t>
      </w:r>
    </w:p>
    <w:p w14:paraId="272348CE">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1</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债权申报登记表</w:t>
      </w:r>
    </w:p>
    <w:p w14:paraId="1A9B59F6">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由债权人签名或盖章的《债权申报登记表》原件一份(</w:t>
      </w:r>
      <w:r>
        <w:rPr>
          <w:rFonts w:hint="eastAsia" w:ascii="仿宋" w:hAnsi="仿宋" w:eastAsia="仿宋" w:cs="仿宋"/>
          <w:spacing w:val="21"/>
          <w:position w:val="26"/>
          <w:sz w:val="28"/>
          <w:szCs w:val="28"/>
          <w:lang w:eastAsia="zh-CN"/>
        </w:rPr>
        <w:t>管理人</w:t>
      </w:r>
      <w:r>
        <w:rPr>
          <w:rFonts w:hint="eastAsia" w:ascii="仿宋" w:hAnsi="仿宋" w:eastAsia="仿宋" w:cs="仿宋"/>
          <w:spacing w:val="21"/>
          <w:position w:val="26"/>
          <w:sz w:val="28"/>
          <w:szCs w:val="28"/>
        </w:rPr>
        <w:t>提供《债权申报登记表》格式)。</w:t>
      </w:r>
    </w:p>
    <w:p w14:paraId="6B85E020">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2</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债权人身份证明文件</w:t>
      </w:r>
    </w:p>
    <w:p w14:paraId="7501DCB6">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①债权人是自然人的，应提供身份证复印件一份。</w:t>
      </w:r>
    </w:p>
    <w:p w14:paraId="5B758B1C">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②债权人是法人或其他组织的，应提供加盖公章的有效营业执照复印件一份、法定代表人或负责人身份证明原件一份、加盖公章的法定代表人或负责人身份证复印件一份。</w:t>
      </w:r>
    </w:p>
    <w:p w14:paraId="5B4415F2">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3</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授权委托书</w:t>
      </w:r>
    </w:p>
    <w:p w14:paraId="039F7D99">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①债权人是自然人且本人自行申报债权的，无需提供《授权委托书》;债权人是自然人，非本人申报债权的，应提供本人签名的《授权委托书》及被委托人(代理人)身份证复印件一份。</w:t>
      </w:r>
    </w:p>
    <w:p w14:paraId="788542B7">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②债权人是法人或其他组织的，应提供加盖公章的授权委托书原件一份及被委托人(代理人)身份证复印件一份。</w:t>
      </w:r>
    </w:p>
    <w:p w14:paraId="0219A95B">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③《授权委托书》中的被委托人(代理人)是律师的，应提供律师执业证复印件一份以及其所在律师事务所出具的指派函一份。</w:t>
      </w:r>
    </w:p>
    <w:p w14:paraId="53C20C76">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4</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债权人账户、送达地址及联系方式确认书</w:t>
      </w:r>
    </w:p>
    <w:p w14:paraId="37C458EB">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由债权人签名或盖章的《债权人账户、送达地址及联系方式确认书》原件一份(</w:t>
      </w:r>
      <w:r>
        <w:rPr>
          <w:rFonts w:hint="eastAsia" w:ascii="仿宋" w:hAnsi="仿宋" w:eastAsia="仿宋" w:cs="仿宋"/>
          <w:spacing w:val="21"/>
          <w:position w:val="26"/>
          <w:sz w:val="28"/>
          <w:szCs w:val="28"/>
          <w:lang w:eastAsia="zh-CN"/>
        </w:rPr>
        <w:t>管理人</w:t>
      </w:r>
      <w:r>
        <w:rPr>
          <w:rFonts w:hint="eastAsia" w:ascii="仿宋" w:hAnsi="仿宋" w:eastAsia="仿宋" w:cs="仿宋"/>
          <w:spacing w:val="21"/>
          <w:position w:val="26"/>
          <w:sz w:val="28"/>
          <w:szCs w:val="28"/>
        </w:rPr>
        <w:t>提供《债权人账户、送达地址及联系方式确认书》格式)。</w:t>
      </w:r>
    </w:p>
    <w:p w14:paraId="7D70F440">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5</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债权事实证据材料</w:t>
      </w:r>
    </w:p>
    <w:p w14:paraId="17033B5A">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证据材料包括但不限于各类合同、付款凭证、银行凭单、对账单、结算单、收货单、借据、收据或发票、往来函件、权属登记证明文件、债权催收文件等。</w:t>
      </w:r>
    </w:p>
    <w:p w14:paraId="44A6C4C6">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申报的债权还有其他债务人的，应当说明其他债务人的履行情况及相应证据材料。</w:t>
      </w:r>
    </w:p>
    <w:p w14:paraId="47329BE6">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6</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债权法律状态证明文件</w:t>
      </w:r>
    </w:p>
    <w:p w14:paraId="652332A9">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申报债权属于已提起诉讼或仲裁的，应提供案件受理通知书、传票、判决书、裁定书、调解书、法律文书生效证明以及仲裁机构的裁决书等，已采取查封等保全措施的，还应提供查封裁定书、查封财产情况说明等。</w:t>
      </w:r>
    </w:p>
    <w:p w14:paraId="48EBC12A">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申报债权属于已进入执行阶段的，应提供强制执行申请书、执行通知书、查封财产情况说明、执行款物接收情况说明等。</w:t>
      </w:r>
    </w:p>
    <w:p w14:paraId="60369CC3">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7</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债权担保文件</w:t>
      </w:r>
    </w:p>
    <w:p w14:paraId="77ED4D98">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申报债权存在担保的，应提供各类抵押合同、质押合同、保证合同等证明担保权利的文件；办理登记手续的，还应提供</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lang w:val="en-US" w:eastAsia="zh-CN"/>
        </w:rPr>
        <w:t>不动产他项权证》</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lang w:val="en-US" w:eastAsia="zh-CN"/>
        </w:rPr>
        <w:t>动产抵押登记书》等</w:t>
      </w:r>
      <w:r>
        <w:rPr>
          <w:rFonts w:hint="eastAsia" w:ascii="仿宋" w:hAnsi="仿宋" w:eastAsia="仿宋" w:cs="仿宋"/>
          <w:spacing w:val="21"/>
          <w:position w:val="26"/>
          <w:sz w:val="28"/>
          <w:szCs w:val="28"/>
        </w:rPr>
        <w:t>担保权登记证明文件</w:t>
      </w:r>
      <w:r>
        <w:rPr>
          <w:rFonts w:hint="eastAsia" w:ascii="仿宋" w:hAnsi="仿宋" w:eastAsia="仿宋" w:cs="仿宋"/>
          <w:spacing w:val="21"/>
          <w:position w:val="26"/>
          <w:sz w:val="28"/>
          <w:szCs w:val="28"/>
          <w:lang w:val="en-US" w:eastAsia="zh-CN"/>
        </w:rPr>
        <w:t>的复印件</w:t>
      </w:r>
      <w:r>
        <w:rPr>
          <w:rFonts w:hint="eastAsia" w:ascii="仿宋" w:hAnsi="仿宋" w:eastAsia="仿宋" w:cs="仿宋"/>
          <w:spacing w:val="21"/>
          <w:position w:val="26"/>
          <w:sz w:val="28"/>
          <w:szCs w:val="28"/>
        </w:rPr>
        <w:t>。</w:t>
      </w:r>
    </w:p>
    <w:p w14:paraId="49A6F19F">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抵押人、出质人、保证人是自然人的，应提供身份证复印件</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是法人或其他组织的，应提供加盖公章的有效营业执照复印件一份。</w:t>
      </w:r>
    </w:p>
    <w:p w14:paraId="732394C2">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8</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债权申报材料清单</w:t>
      </w:r>
    </w:p>
    <w:p w14:paraId="15A50CB2">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债权人对提交的所有材料，应</w:t>
      </w:r>
      <w:r>
        <w:rPr>
          <w:rFonts w:hint="eastAsia" w:ascii="仿宋" w:hAnsi="仿宋" w:eastAsia="仿宋" w:cs="仿宋"/>
          <w:spacing w:val="21"/>
          <w:position w:val="26"/>
          <w:sz w:val="28"/>
          <w:szCs w:val="28"/>
          <w:lang w:val="en-US" w:eastAsia="zh-CN"/>
        </w:rPr>
        <w:t>制作</w:t>
      </w:r>
      <w:r>
        <w:rPr>
          <w:rFonts w:hint="eastAsia" w:ascii="仿宋" w:hAnsi="仿宋" w:eastAsia="仿宋" w:cs="仿宋"/>
          <w:spacing w:val="21"/>
          <w:position w:val="26"/>
          <w:sz w:val="28"/>
          <w:szCs w:val="28"/>
        </w:rPr>
        <w:t>《债权申报材料清单》,</w:t>
      </w:r>
      <w:r>
        <w:rPr>
          <w:rFonts w:hint="eastAsia" w:ascii="仿宋" w:hAnsi="仿宋" w:eastAsia="仿宋" w:cs="仿宋"/>
          <w:spacing w:val="21"/>
          <w:position w:val="26"/>
          <w:sz w:val="28"/>
          <w:szCs w:val="28"/>
          <w:lang w:val="en-US" w:eastAsia="zh-CN"/>
        </w:rPr>
        <w:t>债权申报材料清单可根据债权申报材料的多少增加页数，债权申报材料清单应</w:t>
      </w:r>
      <w:r>
        <w:rPr>
          <w:rFonts w:hint="eastAsia" w:ascii="仿宋" w:hAnsi="仿宋" w:eastAsia="仿宋" w:cs="仿宋"/>
          <w:spacing w:val="21"/>
          <w:position w:val="26"/>
          <w:sz w:val="28"/>
          <w:szCs w:val="28"/>
        </w:rPr>
        <w:t>由债权人或其代理人签名或盖章确认。</w:t>
      </w:r>
    </w:p>
    <w:p w14:paraId="5D9C02ED">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四、申报债权注意事项</w:t>
      </w:r>
    </w:p>
    <w:p w14:paraId="77E1ED2B">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1</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债权人应保证提供的全部材料真实、完整。</w:t>
      </w:r>
    </w:p>
    <w:p w14:paraId="78EFC6D9">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2</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债权人提供的全部材料，须使用A4纸。</w:t>
      </w:r>
    </w:p>
    <w:p w14:paraId="3303C0DB">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3</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债权人提供的身份证、营业执照等复印件，应同时提供原件</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lang w:val="en-US" w:eastAsia="zh-CN"/>
        </w:rPr>
        <w:t>享有抵押权的债权人提供的</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lang w:val="en-US" w:eastAsia="zh-CN"/>
        </w:rPr>
        <w:t>不动产他项权证》</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lang w:val="en-US" w:eastAsia="zh-CN"/>
        </w:rPr>
        <w:t>动产抵押登记书》等复印件，应同时提供原件。原件经管理人与复印件</w:t>
      </w:r>
      <w:r>
        <w:rPr>
          <w:rFonts w:hint="eastAsia" w:ascii="仿宋" w:hAnsi="仿宋" w:eastAsia="仿宋" w:cs="仿宋"/>
          <w:spacing w:val="21"/>
          <w:position w:val="26"/>
          <w:sz w:val="28"/>
          <w:szCs w:val="28"/>
        </w:rPr>
        <w:t>核对无误后当场返还原件。</w:t>
      </w:r>
    </w:p>
    <w:p w14:paraId="69944055">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4</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lang w:val="en-US" w:eastAsia="zh-CN"/>
        </w:rPr>
        <w:t>本次债权申报利息计算截止日为2026年2月24日，即法院裁定受理破产清算申请前一日。如债权人对破产清算期间提交的债权申报材料补充证据或进行修改的，管理人按照更新后的材料重新予以审查。</w:t>
      </w:r>
    </w:p>
    <w:p w14:paraId="54D6EACB">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5</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债权人可以另行提供《债权申报书》,详细说明申报债权的基本情况、申报债权数额的</w:t>
      </w:r>
      <w:r>
        <w:rPr>
          <w:rFonts w:hint="eastAsia" w:ascii="仿宋" w:hAnsi="仿宋" w:eastAsia="仿宋" w:cs="仿宋"/>
          <w:spacing w:val="21"/>
          <w:position w:val="26"/>
          <w:sz w:val="28"/>
          <w:szCs w:val="28"/>
          <w:lang w:val="en-US" w:eastAsia="zh-CN"/>
        </w:rPr>
        <w:t>详细</w:t>
      </w:r>
      <w:r>
        <w:rPr>
          <w:rFonts w:hint="eastAsia" w:ascii="仿宋" w:hAnsi="仿宋" w:eastAsia="仿宋" w:cs="仿宋"/>
          <w:spacing w:val="21"/>
          <w:position w:val="26"/>
          <w:sz w:val="28"/>
          <w:szCs w:val="28"/>
        </w:rPr>
        <w:t>计算方式等。</w:t>
      </w:r>
    </w:p>
    <w:p w14:paraId="2FF6685F">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6</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债权人提供多份或变更《债权申报登记表》《授权委托书》《债权人账户、送达地址及联系方式确认书》《债权申报材料清单》《债权申报书》等申报材料的，以最后日期的为准。</w:t>
      </w:r>
    </w:p>
    <w:p w14:paraId="110941CD">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7</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债权人提供伪造、变造等虚假证据及相关材料的，应承担相应法律责任；债权人对重要事实虚假陈述，应自行承担相应法律后果。</w:t>
      </w:r>
    </w:p>
    <w:p w14:paraId="56C4C252">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rPr>
        <w:t>五、逾期申报或未申报债权的法律后果</w:t>
      </w:r>
    </w:p>
    <w:p w14:paraId="661EBB78">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lang w:eastAsia="zh-CN"/>
        </w:rPr>
      </w:pPr>
      <w:r>
        <w:rPr>
          <w:rFonts w:hint="eastAsia" w:ascii="仿宋" w:hAnsi="仿宋" w:eastAsia="仿宋" w:cs="仿宋"/>
          <w:spacing w:val="21"/>
          <w:position w:val="26"/>
          <w:sz w:val="28"/>
          <w:szCs w:val="28"/>
        </w:rPr>
        <w:t>1</w:t>
      </w:r>
      <w:r>
        <w:rPr>
          <w:rFonts w:hint="eastAsia" w:ascii="仿宋" w:hAnsi="仿宋" w:eastAsia="仿宋" w:cs="仿宋"/>
          <w:spacing w:val="21"/>
          <w:position w:val="26"/>
          <w:sz w:val="28"/>
          <w:szCs w:val="28"/>
          <w:lang w:eastAsia="zh-CN"/>
        </w:rPr>
        <w:t>.</w:t>
      </w:r>
      <w:r>
        <w:rPr>
          <w:rFonts w:hint="eastAsia" w:ascii="仿宋" w:hAnsi="仿宋" w:eastAsia="仿宋" w:cs="仿宋"/>
          <w:spacing w:val="21"/>
          <w:position w:val="26"/>
          <w:sz w:val="28"/>
          <w:szCs w:val="28"/>
        </w:rPr>
        <w:t>未在上述期限内申报债权的，可以在破产财产分配方案提交债权人会议讨论前补充申报，但对此前已进行的分配无权要求补充分配，同时要承担为审查和确认补充申报债权所产生的费用</w:t>
      </w:r>
      <w:r>
        <w:rPr>
          <w:rFonts w:hint="eastAsia" w:ascii="仿宋" w:hAnsi="仿宋" w:eastAsia="仿宋" w:cs="仿宋"/>
          <w:spacing w:val="21"/>
          <w:position w:val="26"/>
          <w:sz w:val="28"/>
          <w:szCs w:val="28"/>
          <w:lang w:eastAsia="zh-CN"/>
        </w:rPr>
        <w:t>。</w:t>
      </w:r>
    </w:p>
    <w:p w14:paraId="1C84C797">
      <w:pPr>
        <w:keepNext w:val="0"/>
        <w:keepLines w:val="0"/>
        <w:pageBreakBefore w:val="0"/>
        <w:widowControl/>
        <w:numPr>
          <w:ilvl w:val="0"/>
          <w:numId w:val="0"/>
        </w:numPr>
        <w:kinsoku/>
        <w:wordWrap w:val="0"/>
        <w:overflowPunct/>
        <w:topLinePunct w:val="0"/>
        <w:autoSpaceDE/>
        <w:autoSpaceDN/>
        <w:bidi w:val="0"/>
        <w:adjustRightInd w:val="0"/>
        <w:snapToGrid w:val="0"/>
        <w:spacing w:line="600" w:lineRule="exact"/>
        <w:ind w:right="0" w:rightChars="0" w:firstLine="644" w:firstLineChars="200"/>
        <w:jc w:val="left"/>
        <w:textAlignment w:val="auto"/>
        <w:rPr>
          <w:rFonts w:hint="eastAsia" w:ascii="仿宋" w:hAnsi="仿宋" w:eastAsia="仿宋" w:cs="仿宋"/>
          <w:spacing w:val="21"/>
          <w:position w:val="26"/>
          <w:sz w:val="28"/>
          <w:szCs w:val="28"/>
          <w:lang w:eastAsia="zh-CN"/>
        </w:rPr>
      </w:pPr>
      <w:r>
        <w:rPr>
          <w:rFonts w:hint="eastAsia" w:ascii="仿宋" w:hAnsi="仿宋" w:eastAsia="仿宋" w:cs="仿宋"/>
          <w:spacing w:val="21"/>
          <w:position w:val="26"/>
          <w:sz w:val="28"/>
          <w:szCs w:val="28"/>
          <w:lang w:val="en-US" w:eastAsia="zh-CN"/>
        </w:rPr>
        <w:t>2.</w:t>
      </w:r>
      <w:r>
        <w:rPr>
          <w:rFonts w:hint="eastAsia" w:ascii="仿宋" w:hAnsi="仿宋" w:eastAsia="仿宋" w:cs="仿宋"/>
          <w:spacing w:val="21"/>
          <w:position w:val="26"/>
          <w:sz w:val="28"/>
          <w:szCs w:val="28"/>
        </w:rPr>
        <w:t>未申报债权的，不得依照《中华人民共和国企业破产法》规定的程序行使权利</w:t>
      </w:r>
      <w:r>
        <w:rPr>
          <w:rFonts w:hint="eastAsia" w:ascii="仿宋" w:hAnsi="仿宋" w:eastAsia="仿宋" w:cs="仿宋"/>
          <w:spacing w:val="21"/>
          <w:position w:val="26"/>
          <w:sz w:val="28"/>
          <w:szCs w:val="28"/>
          <w:lang w:eastAsia="zh-CN"/>
        </w:rPr>
        <w:t>。</w:t>
      </w:r>
    </w:p>
    <w:p w14:paraId="60218CED">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highlight w:val="none"/>
        </w:rPr>
      </w:pPr>
      <w:r>
        <w:rPr>
          <w:rFonts w:hint="eastAsia" w:ascii="仿宋" w:hAnsi="仿宋" w:eastAsia="仿宋" w:cs="仿宋"/>
          <w:spacing w:val="21"/>
          <w:position w:val="26"/>
          <w:sz w:val="28"/>
          <w:szCs w:val="28"/>
          <w:highlight w:val="none"/>
        </w:rPr>
        <w:t>六、第一次债权人会议的召开</w:t>
      </w:r>
    </w:p>
    <w:p w14:paraId="6CA1635E">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highlight w:val="none"/>
        </w:rPr>
      </w:pPr>
      <w:r>
        <w:rPr>
          <w:rFonts w:hint="eastAsia" w:ascii="仿宋" w:hAnsi="仿宋" w:eastAsia="仿宋" w:cs="仿宋"/>
          <w:spacing w:val="21"/>
          <w:position w:val="26"/>
          <w:sz w:val="28"/>
          <w:szCs w:val="28"/>
          <w:highlight w:val="none"/>
        </w:rPr>
        <w:t>第一次债权人</w:t>
      </w:r>
      <w:r>
        <w:rPr>
          <w:rFonts w:hint="eastAsia" w:ascii="仿宋" w:hAnsi="仿宋" w:eastAsia="仿宋" w:cs="仿宋"/>
          <w:spacing w:val="21"/>
          <w:position w:val="26"/>
          <w:sz w:val="28"/>
          <w:szCs w:val="28"/>
          <w:highlight w:val="none"/>
          <w:lang w:val="en-US" w:eastAsia="zh-CN"/>
        </w:rPr>
        <w:t>会议的召开时间、具体参会方式以及要求由管理人另行通知</w:t>
      </w:r>
      <w:r>
        <w:rPr>
          <w:rFonts w:hint="eastAsia" w:ascii="仿宋" w:hAnsi="仿宋" w:eastAsia="仿宋" w:cs="仿宋"/>
          <w:spacing w:val="21"/>
          <w:position w:val="26"/>
          <w:sz w:val="28"/>
          <w:szCs w:val="28"/>
          <w:highlight w:val="none"/>
        </w:rPr>
        <w:t>。</w:t>
      </w:r>
    </w:p>
    <w:p w14:paraId="3B89F09D">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p>
    <w:p w14:paraId="61187FEF">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p>
    <w:p w14:paraId="14A09B3B">
      <w:pPr>
        <w:keepNext w:val="0"/>
        <w:keepLines w:val="0"/>
        <w:pageBreakBefore w:val="0"/>
        <w:widowControl/>
        <w:kinsoku/>
        <w:wordWrap w:val="0"/>
        <w:overflowPunct/>
        <w:topLinePunct w:val="0"/>
        <w:autoSpaceDE/>
        <w:autoSpaceDN/>
        <w:bidi w:val="0"/>
        <w:adjustRightInd w:val="0"/>
        <w:snapToGrid w:val="0"/>
        <w:spacing w:line="600" w:lineRule="exact"/>
        <w:ind w:right="0" w:firstLine="644" w:firstLineChars="200"/>
        <w:jc w:val="left"/>
        <w:textAlignment w:val="auto"/>
        <w:rPr>
          <w:rFonts w:hint="eastAsia" w:ascii="仿宋" w:hAnsi="仿宋" w:eastAsia="仿宋" w:cs="仿宋"/>
          <w:spacing w:val="21"/>
          <w:position w:val="26"/>
          <w:sz w:val="28"/>
          <w:szCs w:val="28"/>
        </w:rPr>
      </w:pPr>
    </w:p>
    <w:p w14:paraId="6D3A88C3">
      <w:pPr>
        <w:keepNext w:val="0"/>
        <w:keepLines w:val="0"/>
        <w:pageBreakBefore w:val="0"/>
        <w:widowControl/>
        <w:kinsoku/>
        <w:wordWrap w:val="0"/>
        <w:overflowPunct/>
        <w:topLinePunct w:val="0"/>
        <w:autoSpaceDE/>
        <w:autoSpaceDN/>
        <w:bidi w:val="0"/>
        <w:adjustRightInd w:val="0"/>
        <w:snapToGrid w:val="0"/>
        <w:spacing w:line="600" w:lineRule="exact"/>
        <w:ind w:right="0" w:firstLine="3864" w:firstLineChars="1200"/>
        <w:jc w:val="left"/>
        <w:textAlignment w:val="auto"/>
        <w:rPr>
          <w:rFonts w:hint="eastAsia" w:ascii="仿宋" w:hAnsi="仿宋" w:eastAsia="仿宋" w:cs="仿宋"/>
          <w:spacing w:val="21"/>
          <w:position w:val="26"/>
          <w:sz w:val="28"/>
          <w:szCs w:val="28"/>
          <w:lang w:eastAsia="zh-CN"/>
        </w:rPr>
      </w:pPr>
      <w:r>
        <w:rPr>
          <w:rFonts w:hint="eastAsia" w:ascii="仿宋" w:hAnsi="仿宋" w:eastAsia="仿宋" w:cs="仿宋"/>
          <w:spacing w:val="21"/>
          <w:position w:val="26"/>
          <w:sz w:val="28"/>
          <w:szCs w:val="28"/>
          <w:lang w:eastAsia="zh-CN"/>
        </w:rPr>
        <w:t>山东圣菲特钢结构有限公司管理人</w:t>
      </w:r>
    </w:p>
    <w:p w14:paraId="02B9342E">
      <w:pPr>
        <w:keepNext w:val="0"/>
        <w:keepLines w:val="0"/>
        <w:pageBreakBefore w:val="0"/>
        <w:widowControl/>
        <w:kinsoku/>
        <w:wordWrap w:val="0"/>
        <w:overflowPunct/>
        <w:topLinePunct w:val="0"/>
        <w:autoSpaceDE/>
        <w:autoSpaceDN/>
        <w:bidi w:val="0"/>
        <w:adjustRightInd w:val="0"/>
        <w:snapToGrid w:val="0"/>
        <w:spacing w:line="600" w:lineRule="exact"/>
        <w:ind w:right="0" w:firstLine="5152" w:firstLineChars="1600"/>
        <w:jc w:val="left"/>
        <w:textAlignment w:val="auto"/>
        <w:rPr>
          <w:rFonts w:hint="eastAsia" w:ascii="仿宋" w:hAnsi="仿宋" w:eastAsia="仿宋" w:cs="仿宋"/>
          <w:spacing w:val="21"/>
          <w:position w:val="26"/>
          <w:sz w:val="28"/>
          <w:szCs w:val="28"/>
          <w:lang w:val="en-US" w:eastAsia="zh-CN"/>
        </w:rPr>
      </w:pPr>
    </w:p>
    <w:p w14:paraId="7180E3AD">
      <w:pPr>
        <w:keepNext w:val="0"/>
        <w:keepLines w:val="0"/>
        <w:pageBreakBefore w:val="0"/>
        <w:widowControl/>
        <w:kinsoku/>
        <w:wordWrap w:val="0"/>
        <w:overflowPunct/>
        <w:topLinePunct w:val="0"/>
        <w:autoSpaceDE/>
        <w:autoSpaceDN/>
        <w:bidi w:val="0"/>
        <w:adjustRightInd w:val="0"/>
        <w:snapToGrid w:val="0"/>
        <w:spacing w:line="600" w:lineRule="exact"/>
        <w:ind w:right="0" w:firstLine="5152" w:firstLineChars="1600"/>
        <w:jc w:val="left"/>
        <w:textAlignment w:val="auto"/>
        <w:rPr>
          <w:rFonts w:hint="eastAsia" w:ascii="仿宋" w:hAnsi="仿宋" w:eastAsia="仿宋" w:cs="仿宋"/>
          <w:spacing w:val="21"/>
          <w:position w:val="26"/>
          <w:sz w:val="28"/>
          <w:szCs w:val="28"/>
        </w:rPr>
      </w:pPr>
      <w:r>
        <w:rPr>
          <w:rFonts w:hint="eastAsia" w:ascii="仿宋" w:hAnsi="仿宋" w:eastAsia="仿宋" w:cs="仿宋"/>
          <w:spacing w:val="21"/>
          <w:position w:val="26"/>
          <w:sz w:val="28"/>
          <w:szCs w:val="28"/>
          <w:lang w:val="en-US" w:eastAsia="zh-CN"/>
        </w:rPr>
        <w:t>2026年4月15</w:t>
      </w:r>
      <w:bookmarkStart w:id="0" w:name="_GoBack"/>
      <w:bookmarkEnd w:id="0"/>
      <w:r>
        <w:rPr>
          <w:rFonts w:hint="eastAsia" w:ascii="仿宋" w:hAnsi="仿宋" w:eastAsia="仿宋" w:cs="仿宋"/>
          <w:spacing w:val="21"/>
          <w:position w:val="26"/>
          <w:sz w:val="28"/>
          <w:szCs w:val="28"/>
        </w:rPr>
        <w:t>日</w:t>
      </w:r>
    </w:p>
    <w:p w14:paraId="6FE93CB9">
      <w:pPr>
        <w:keepNext w:val="0"/>
        <w:keepLines w:val="0"/>
        <w:pageBreakBefore w:val="0"/>
        <w:widowControl/>
        <w:kinsoku w:val="0"/>
        <w:wordWrap/>
        <w:overflowPunct/>
        <w:topLinePunct w:val="0"/>
        <w:autoSpaceDE w:val="0"/>
        <w:autoSpaceDN w:val="0"/>
        <w:bidi w:val="0"/>
        <w:adjustRightInd w:val="0"/>
        <w:snapToGrid w:val="0"/>
        <w:spacing w:before="92" w:line="520" w:lineRule="exact"/>
        <w:ind w:right="203"/>
        <w:jc w:val="both"/>
        <w:textAlignment w:val="baseline"/>
        <w:rPr>
          <w:rFonts w:ascii="宋体" w:hAnsi="宋体" w:eastAsia="宋体" w:cs="宋体"/>
          <w:spacing w:val="21"/>
          <w:position w:val="26"/>
          <w:sz w:val="32"/>
          <w:szCs w:val="32"/>
        </w:rPr>
      </w:pPr>
    </w:p>
    <w:sectPr>
      <w:footerReference r:id="rId5" w:type="default"/>
      <w:pgSz w:w="12070" w:h="16950"/>
      <w:pgMar w:top="1440" w:right="1634" w:bottom="1267" w:left="1810" w:header="0" w:footer="112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E08E4">
    <w:pPr>
      <w:spacing w:line="181" w:lineRule="auto"/>
      <w:ind w:left="4369"/>
      <w:rPr>
        <w:rFonts w:ascii="宋体" w:hAnsi="宋体" w:eastAsia="宋体" w:cs="宋体"/>
        <w:sz w:val="14"/>
        <w:szCs w:val="14"/>
      </w:rPr>
    </w:pPr>
    <w:r>
      <w:rPr>
        <w:sz w:val="1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989B6A">
                          <w:pPr>
                            <w:pStyle w:val="3"/>
                            <w:rPr>
                              <w:rFonts w:hint="eastAsia" w:ascii="仿宋" w:hAnsi="仿宋" w:eastAsia="仿宋" w:cs="仿宋"/>
                              <w:sz w:val="24"/>
                              <w:szCs w:val="24"/>
                            </w:rPr>
                          </w:pPr>
                          <w:r>
                            <w:rPr>
                              <w:rFonts w:hint="eastAsia" w:ascii="仿宋" w:hAnsi="仿宋" w:eastAsia="仿宋" w:cs="仿宋"/>
                              <w:sz w:val="24"/>
                              <w:szCs w:val="24"/>
                            </w:rPr>
                            <w:t xml:space="preserve">第 </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页 共 </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NUMPAGES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6</w:t>
                          </w:r>
                          <w:r>
                            <w:rPr>
                              <w:rFonts w:hint="eastAsia" w:ascii="仿宋" w:hAnsi="仿宋" w:eastAsia="仿宋" w:cs="仿宋"/>
                              <w:sz w:val="24"/>
                              <w:szCs w:val="24"/>
                            </w:rPr>
                            <w:fldChar w:fldCharType="end"/>
                          </w:r>
                          <w:r>
                            <w:rPr>
                              <w:rFonts w:hint="eastAsia" w:ascii="仿宋" w:hAnsi="仿宋" w:eastAsia="仿宋" w:cs="仿宋"/>
                              <w:sz w:val="24"/>
                              <w:szCs w:val="24"/>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989B6A">
                    <w:pPr>
                      <w:pStyle w:val="3"/>
                      <w:rPr>
                        <w:rFonts w:hint="eastAsia" w:ascii="仿宋" w:hAnsi="仿宋" w:eastAsia="仿宋" w:cs="仿宋"/>
                        <w:sz w:val="24"/>
                        <w:szCs w:val="24"/>
                      </w:rPr>
                    </w:pPr>
                    <w:r>
                      <w:rPr>
                        <w:rFonts w:hint="eastAsia" w:ascii="仿宋" w:hAnsi="仿宋" w:eastAsia="仿宋" w:cs="仿宋"/>
                        <w:sz w:val="24"/>
                        <w:szCs w:val="24"/>
                      </w:rPr>
                      <w:t xml:space="preserve">第 </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页 共 </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NUMPAGES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6</w:t>
                    </w:r>
                    <w:r>
                      <w:rPr>
                        <w:rFonts w:hint="eastAsia" w:ascii="仿宋" w:hAnsi="仿宋" w:eastAsia="仿宋" w:cs="仿宋"/>
                        <w:sz w:val="24"/>
                        <w:szCs w:val="24"/>
                      </w:rPr>
                      <w:fldChar w:fldCharType="end"/>
                    </w:r>
                    <w:r>
                      <w:rPr>
                        <w:rFonts w:hint="eastAsia" w:ascii="仿宋" w:hAnsi="仿宋" w:eastAsia="仿宋" w:cs="仿宋"/>
                        <w:sz w:val="24"/>
                        <w:szCs w:val="24"/>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DY1MjQwN2FhN2FmNDI5ODdlOWM0MzU3NTdjMjMwMjYifQ=="/>
  </w:docVars>
  <w:rsids>
    <w:rsidRoot w:val="00000000"/>
    <w:rsid w:val="00016757"/>
    <w:rsid w:val="02CD5A6F"/>
    <w:rsid w:val="05810D93"/>
    <w:rsid w:val="05D15877"/>
    <w:rsid w:val="062F6A41"/>
    <w:rsid w:val="0BAB0918"/>
    <w:rsid w:val="10861FCC"/>
    <w:rsid w:val="10B71B0D"/>
    <w:rsid w:val="181635BD"/>
    <w:rsid w:val="188449CB"/>
    <w:rsid w:val="188C5B98"/>
    <w:rsid w:val="18A32A67"/>
    <w:rsid w:val="196F11D7"/>
    <w:rsid w:val="1BAD2D95"/>
    <w:rsid w:val="1D1A5208"/>
    <w:rsid w:val="1F6246F2"/>
    <w:rsid w:val="1F770DE5"/>
    <w:rsid w:val="1F7F271E"/>
    <w:rsid w:val="1FAB5836"/>
    <w:rsid w:val="215313DE"/>
    <w:rsid w:val="25090731"/>
    <w:rsid w:val="25AB078F"/>
    <w:rsid w:val="26A10E3D"/>
    <w:rsid w:val="276205CD"/>
    <w:rsid w:val="2AA11EC3"/>
    <w:rsid w:val="2C9F37A3"/>
    <w:rsid w:val="2DCF003E"/>
    <w:rsid w:val="2E152640"/>
    <w:rsid w:val="2F965DBB"/>
    <w:rsid w:val="32FD5ACB"/>
    <w:rsid w:val="33FD20E1"/>
    <w:rsid w:val="35D87647"/>
    <w:rsid w:val="39496BC7"/>
    <w:rsid w:val="40BF34E9"/>
    <w:rsid w:val="42344B37"/>
    <w:rsid w:val="49797853"/>
    <w:rsid w:val="4E0E25A6"/>
    <w:rsid w:val="4FA14CE9"/>
    <w:rsid w:val="5185533A"/>
    <w:rsid w:val="553920BD"/>
    <w:rsid w:val="5BEB01EB"/>
    <w:rsid w:val="5DD70BE1"/>
    <w:rsid w:val="5DE03A1E"/>
    <w:rsid w:val="5E3E3C56"/>
    <w:rsid w:val="5E543A3E"/>
    <w:rsid w:val="661C67E7"/>
    <w:rsid w:val="66F83B86"/>
    <w:rsid w:val="6F15592E"/>
    <w:rsid w:val="70004197"/>
    <w:rsid w:val="72384133"/>
    <w:rsid w:val="74A37DEE"/>
    <w:rsid w:val="75C1186E"/>
    <w:rsid w:val="767A7609"/>
    <w:rsid w:val="76FD19B2"/>
    <w:rsid w:val="774C54E7"/>
    <w:rsid w:val="77FF289B"/>
    <w:rsid w:val="7B4B2BB6"/>
    <w:rsid w:val="7E8A1432"/>
    <w:rsid w:val="7F4F4B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1"/>
      <w:szCs w:val="31"/>
      <w:lang w:val="en-US" w:eastAsia="en-US"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2076</Words>
  <Characters>2174</Characters>
  <TotalTime>0</TotalTime>
  <ScaleCrop>false</ScaleCrop>
  <LinksUpToDate>false</LinksUpToDate>
  <CharactersWithSpaces>2176</CharactersWithSpaces>
  <Application>WPS Office_12.1.0.25865_F1E327BC-269C-435d-A152-05C5408002CA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2023-09-28T08:25:00Z</dcterms:created>
  <dc:creator>Kingsoft-PDF</dc:creator>
  <cp:lastModifiedBy>从余</cp:lastModifiedBy>
  <cp:lastPrinted>2023-11-16T06:47:00Z</cp:lastPrinted>
  <dcterms:modified xsi:type="dcterms:W3CDTF">2026-04-15T05:05:32Z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2023-09-28T08:25:52Z</vt:filetime>
  </property>
  <property fmtid="{D5CDD505-2E9C-101B-9397-08002B2CF9AE}" pid="4" name="UsrData">
    <vt:lpwstr>6514c80d5e0b5e001fe2cc0ewl</vt:lpwstr>
  </property>
  <property fmtid="{D5CDD505-2E9C-101B-9397-08002B2CF9AE}" pid="5" name="KSOProductBuildVer">
    <vt:lpwstr>2052-12.1.0.25865</vt:lpwstr>
  </property>
  <property fmtid="{D5CDD505-2E9C-101B-9397-08002B2CF9AE}" pid="6" name="ICV">
    <vt:lpwstr>337F738F25954E278D85977415361FA8_12</vt:lpwstr>
  </property>
  <property fmtid="{D5CDD505-2E9C-101B-9397-08002B2CF9AE}" pid="7" name="KSOTemplateDocerSaveRecord">
    <vt:lpwstr>eyJoZGlkIjoiODBjZDE1MGY1NWY1NzhlNzEzZGJhMjQ5YmRhYzM3ZWUiLCJ1c2VySWQiOiI4NjcwOTk2NjcifQ==</vt:lpwstr>
  </property>
</Properties>
</file>