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  <w:t>荆州鼎居置业有限公司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  <w:t>第二次债权人会议决议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bookmarkStart w:id="0" w:name="OLE_LINK1"/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荆州鼎居置业有限公司第二次债权人会议于2026年4月28日上午在湖北省荆州市荆州区人民法院新审判楼第一审判庭召开。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出席人员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:法院审判人员、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经核实的债权人、部分职工代表、法定代表人、管理人团队成员、审计人员等。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会议依据《中华人民共和国企业破产法》及相关规定，审议并表决了以下议案：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听取并审议管理人作的《执行职务的阶段性工作报告及招募重整投资人的情况汇报》。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听取审计机构荆州市正信会计师事务有限公司所作的《审计报告补充说明（摘要）》和代为宣读的评估报告补充说明。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听取管理人宣读的《不动产测绘报告（摘要）》。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听取并审议管理人作的《债权申报及审查情况的报告》。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审议并表决《关于提请表决终止破产重整程序宣告破产清算的报告》。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审议并表决《荆州鼎居置业有限公司破产财产变价方案》。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审议并表决《荆州鼎居置业有限公司破产财产分配方案》。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审议并表决《关于提请债权人会议确定管理人报酬方案的报告》。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审议《关于建筑施工程债权享有优先权的议案》、《关于股东集资垫付公司事务费用债权享有优先权的议案》、《关于购房户债权享有优先权的议案》。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both"/>
        <w:textAlignment w:val="auto"/>
        <w:rPr>
          <w:rFonts w:ascii="华文仿宋" w:hAnsi="华文仿宋" w:eastAsia="仿宋"/>
          <w:b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b/>
          <w:color w:val="000000"/>
          <w:sz w:val="32"/>
          <w:szCs w:val="32"/>
          <w:lang w:eastAsia="zh-CN"/>
        </w:rPr>
        <w:t>会议表决结果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经出席会议的有表决权的债权人进行表决，表决结果如下：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关于《终止破产重整程序并宣告破产清算的议案》：经表决，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同意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44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票，不同意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票，同意票数占出席会议有表决权债权人数的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89.7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%；同意票所代表的债权额为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476384056.60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元，占无财产担保债权总额的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96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%。表决通过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该议案。债权人会议决定终止对荆州鼎居置业有限公司的重整程序，并向荆州市荆州区人民法院申请宣告债务人破产清算。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关于《破产财产变价方案》的议案：经表决，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同意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41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票，不同意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票，同意票数占出席会议有表决权债权人数的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89.13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%；同意票所代表的债权额为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454979416.60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元，占无财产担保债权总额的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91.84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%。表决通过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该议案。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华文仿宋" w:hAnsi="华文仿宋" w:eastAsia="仿宋"/>
          <w:color w:val="000000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关于《破产财产分配方案》的议案：经表决，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同意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34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票，不同意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票，同意票数占出席会议有表决权债权人数的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89.13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%；同意票所代表的债权额为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453450878.50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元，占无财产担保债权总额的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91.53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%。表决通过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该议案。方案明确了可供分配的破产财产总额（以最终实际变现净值为准）及分配顺序。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关于《管理人报酬方案》的议案：经表决，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同意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39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票，不同意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票，同意票数占出席会议有表决权债权人数的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90.69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%；同意票所代表的债权额为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480122466.3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元，占无财产担保债权总额的</w:t>
      </w: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96.91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 xml:space="preserve"> </w:t>
      </w:r>
      <w:r>
        <w:rPr>
          <w:rFonts w:ascii="华文仿宋" w:hAnsi="华文仿宋" w:eastAsia="仿宋"/>
          <w:color w:val="000000"/>
          <w:sz w:val="32"/>
          <w:szCs w:val="32"/>
          <w:lang w:eastAsia="zh-CN"/>
        </w:rPr>
        <w:t>%。表决通过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该议案。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both"/>
        <w:textAlignment w:val="auto"/>
        <w:rPr>
          <w:rFonts w:ascii="华文仿宋" w:hAnsi="华文仿宋" w:eastAsia="仿宋"/>
          <w:b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b/>
          <w:color w:val="000000"/>
          <w:sz w:val="32"/>
          <w:szCs w:val="32"/>
          <w:lang w:eastAsia="zh-CN"/>
        </w:rPr>
        <w:t>会议决议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根据上述审议和表决结果，本次债权人会议形成如下决议：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通过《关于提请表决终止破产重整程序宣告破产清算的报告》，同意终止重整程序，并申请法院宣告债务人破产清算。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批准管理人提交的《荆州鼎居置业有限公司破产财产变价方案》。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批准管理人提交的《荆州鼎居置业有限公司破产财产分配方案》。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批准管理人提交的《关于提请债权人会议确定管理人报酬方案的报告》。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授权管理人根据本次会议通过的报告和方案所确定事项，在荆州市荆州区人民法院的监督下，依法推进终止破产重整转清算及清算中破产财产的变价、分配等工作。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ascii="华文仿宋" w:hAnsi="华文仿宋" w:eastAsia="仿宋"/>
          <w:sz w:val="32"/>
          <w:szCs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本决议经本次债权人会议表决通过，自通过之日起生效，对全体债权人均有约束力。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240" w:firstLineChars="700"/>
        <w:jc w:val="both"/>
        <w:textAlignment w:val="auto"/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240" w:firstLineChars="700"/>
        <w:jc w:val="both"/>
        <w:textAlignment w:val="auto"/>
        <w:rPr>
          <w:rFonts w:hint="eastAsia" w:ascii="华文仿宋" w:hAnsi="华文仿宋" w:eastAsia="仿宋"/>
          <w:sz w:val="32"/>
          <w:szCs w:val="32"/>
          <w:lang w:val="en-US"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荆州鼎居置业有限公司破产管理人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000" w:firstLineChars="1250"/>
        <w:jc w:val="both"/>
        <w:textAlignment w:val="auto"/>
        <w:rPr>
          <w:rFonts w:eastAsia="仿宋"/>
          <w:sz w:val="32"/>
          <w:lang w:eastAsia="zh-CN"/>
        </w:rPr>
      </w:pPr>
      <w:r>
        <w:rPr>
          <w:rFonts w:hint="eastAsia" w:ascii="华文仿宋" w:hAnsi="华文仿宋" w:eastAsia="仿宋"/>
          <w:color w:val="000000"/>
          <w:sz w:val="32"/>
          <w:szCs w:val="32"/>
          <w:lang w:eastAsia="zh-CN"/>
        </w:rPr>
        <w:t>2026年4月28日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</w:p>
    <w:bookmarkEnd w:id="0"/>
    <w:p>
      <w:pPr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NWQzYjczZmE5MGI3MThkODdhYjE5ZjA3MjJlMmUifQ=="/>
  </w:docVars>
  <w:rsids>
    <w:rsidRoot w:val="3FA81D45"/>
    <w:rsid w:val="3FA8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2026-04-28T10:07:00Z</dcterms:created>
  <dc:creator>鲁明俊</dc:creator>
  <cp:lastModifiedBy>鲁明俊</cp:lastModifiedBy>
  <cp:lastPrinted>2026-04-28T10:20:15Z</cp:lastPrinted>
  <dcterms:modified xsi:type="dcterms:W3CDTF">2026-04-28T10:24:20Z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12AC69BC2EBF4AEBAD2EB9B525AB450C_11</vt:lpwstr>
  </property>
</Properties>
</file>