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E624">
      <w:pPr>
        <w:spacing w:before="156" w:beforeLines="50" w:after="156" w:afterLines="50" w:line="360" w:lineRule="auto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张铁军翡翠破产清仓・五一终极放漏｜传世美玉低至1</w:t>
      </w:r>
      <w:bookmarkStart w:id="1" w:name="_GoBack"/>
      <w:bookmarkEnd w:id="1"/>
      <w:r>
        <w:rPr>
          <w:rFonts w:hint="eastAsia" w:ascii="Times New Roman" w:hAnsi="Times New Roman" w:eastAsia="宋体"/>
          <w:b/>
          <w:bCs/>
          <w:sz w:val="24"/>
          <w:szCs w:val="24"/>
        </w:rPr>
        <w:t>折，绝版捡漏仅此一次！</w:t>
      </w:r>
    </w:p>
    <w:p w14:paraId="0DD74CEE">
      <w:pPr>
        <w:spacing w:before="156" w:beforeLines="50" w:after="156" w:afterLines="50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一、破产受理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及管理人接管</w:t>
      </w:r>
      <w:r>
        <w:rPr>
          <w:rFonts w:ascii="Times New Roman" w:hAnsi="Times New Roman" w:eastAsia="宋体"/>
          <w:b/>
          <w:bCs/>
          <w:sz w:val="24"/>
          <w:szCs w:val="24"/>
        </w:rPr>
        <w:t>情况</w:t>
      </w:r>
    </w:p>
    <w:p w14:paraId="0AEF270A">
      <w:pPr>
        <w:spacing w:before="156" w:beforeLines="50" w:after="156" w:afterLines="50"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根据相关权利人的申请，上海市第三中级人民法院（以下简称“上海三中院”）于2025年4月16日以（2025）沪03破325号《民事裁定书》裁定受理债务人上海张铁军翡翠股份有限公司破产清算申请（以下简称“张铁军股份”或“债务人”），并于2025年5月6日以（2025）沪03破325号《决定书》，指定上海市汇业律师事务所担任</w:t>
      </w:r>
      <w:bookmarkStart w:id="0" w:name="OLE_LINK1"/>
      <w:r>
        <w:rPr>
          <w:rFonts w:hint="eastAsia" w:ascii="Times New Roman" w:hAnsi="Times New Roman" w:eastAsia="宋体"/>
          <w:sz w:val="24"/>
          <w:szCs w:val="24"/>
        </w:rPr>
        <w:t>上海张铁军翡翠股份有限公司管理人</w:t>
      </w:r>
      <w:bookmarkEnd w:id="0"/>
      <w:r>
        <w:rPr>
          <w:rFonts w:hint="eastAsia" w:ascii="Times New Roman" w:hAnsi="Times New Roman" w:eastAsia="宋体"/>
          <w:sz w:val="24"/>
          <w:szCs w:val="24"/>
        </w:rPr>
        <w:t>（以下简称“管理人”）。</w:t>
      </w:r>
    </w:p>
    <w:p w14:paraId="17AEFFDC">
      <w:pPr>
        <w:spacing w:before="156" w:beforeLines="50" w:after="156" w:afterLines="50" w:line="360" w:lineRule="auto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管理人接管张铁军股份后持续开展财产处置工作，</w:t>
      </w:r>
      <w:r>
        <w:rPr>
          <w:rFonts w:hint="eastAsia" w:ascii="Times New Roman" w:hAnsi="Times New Roman" w:eastAsia="宋体"/>
          <w:sz w:val="24"/>
          <w:szCs w:val="24"/>
        </w:rPr>
        <w:t>品牌运营已进入规范、透明、有序的全新管理阶段，所有在售商品均由管理人统一把控、规范销售，全程公开透明、安全可控。</w:t>
      </w:r>
    </w:p>
    <w:p w14:paraId="2F9A53A5">
      <w:pPr>
        <w:spacing w:before="156" w:beforeLines="50" w:after="156" w:afterLines="50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二</w:t>
      </w:r>
      <w:r>
        <w:rPr>
          <w:rFonts w:ascii="Times New Roman" w:hAnsi="Times New Roman" w:eastAsia="宋体"/>
          <w:b/>
          <w:bCs/>
          <w:sz w:val="24"/>
          <w:szCs w:val="24"/>
        </w:rPr>
        <w:t>、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品牌背景及门店情况</w:t>
      </w:r>
    </w:p>
    <w:p w14:paraId="4E87A7AC">
      <w:pPr>
        <w:spacing w:before="156" w:beforeLines="50" w:after="156" w:afterLines="50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上海张铁军翡翠股份有限公司创始于1978年，是集高端珠宝首饰、翡翠玉雕艺术品及设计、加工、商业零售企业集团。曾拥有一批中国工艺美术大师、高级工艺美术师、高级技师、上海工艺美术大师等高级珠宝首饰、玉雕设计制作人才，曾是中国工艺美术行业领先企业、上海珠宝玉石行业龙头企业。</w:t>
      </w:r>
    </w:p>
    <w:p w14:paraId="45385D4E">
      <w:pPr>
        <w:spacing w:before="156" w:beforeLines="50" w:after="156" w:afterLines="50" w:line="360" w:lineRule="auto"/>
        <w:jc w:val="left"/>
        <w:rPr>
          <w:rFonts w:ascii="Times New Roman" w:hAnsi="Times New Roman" w:eastAsia="宋体"/>
          <w:b w:val="0"/>
          <w:bCs w:val="0"/>
          <w:sz w:val="24"/>
          <w:szCs w:val="24"/>
          <w:u w:val="none"/>
        </w:rPr>
      </w:pPr>
      <w:r>
        <w:rPr>
          <w:rFonts w:hint="eastAsia" w:ascii="Times New Roman" w:hAnsi="Times New Roman" w:eastAsia="宋体"/>
          <w:sz w:val="24"/>
          <w:szCs w:val="24"/>
        </w:rPr>
        <w:t>管理人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目前</w:t>
      </w:r>
      <w:r>
        <w:rPr>
          <w:rFonts w:hint="eastAsia" w:ascii="Times New Roman" w:hAnsi="Times New Roman" w:eastAsia="宋体"/>
          <w:sz w:val="24"/>
          <w:szCs w:val="24"/>
        </w:rPr>
        <w:t>在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位于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u w:val="none"/>
          <w:lang w:val="en-US" w:eastAsia="zh-CN"/>
        </w:rPr>
        <w:t>中环百联东方商厦、宝山巴黎春天、松江商城的3家张铁军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u w:val="none"/>
        </w:rPr>
        <w:t>门店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u w:val="none"/>
          <w:lang w:val="en-US" w:eastAsia="zh-CN"/>
        </w:rPr>
        <w:t>同时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u w:val="none"/>
        </w:rPr>
        <w:t>举办翡翠特卖会。在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u w:val="none"/>
          <w:lang w:val="en-US" w:eastAsia="zh-CN"/>
        </w:rPr>
        <w:t>管理人的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u w:val="none"/>
        </w:rPr>
        <w:t>规范管理模式下，我们剔除了多余成本，以更实在、更亲民的价格直面消费者，同等品质下价格更优，真正做到安全可靠、性价比高、买得放心、用得安心。</w:t>
      </w:r>
    </w:p>
    <w:p w14:paraId="72943DCC">
      <w:pPr>
        <w:spacing w:before="156" w:beforeLines="50" w:after="156" w:afterLines="50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二</w:t>
      </w:r>
      <w:r>
        <w:rPr>
          <w:rFonts w:ascii="Times New Roman" w:hAnsi="Times New Roman" w:eastAsia="宋体"/>
          <w:b/>
          <w:bCs/>
          <w:sz w:val="24"/>
          <w:szCs w:val="24"/>
        </w:rPr>
        <w:t>、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特卖方案</w:t>
      </w:r>
    </w:p>
    <w:p w14:paraId="3C13BCE3">
      <w:pPr>
        <w:spacing w:before="156" w:beforeLines="50" w:after="156" w:afterLines="50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折扣力度：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最低1</w:t>
      </w:r>
      <w:r>
        <w:rPr>
          <w:rFonts w:hint="eastAsia" w:ascii="Times New Roman" w:hAnsi="Times New Roman" w:eastAsia="宋体"/>
          <w:sz w:val="24"/>
          <w:szCs w:val="24"/>
        </w:rPr>
        <w:t>折起</w:t>
      </w:r>
    </w:p>
    <w:p w14:paraId="6F135E63">
      <w:pPr>
        <w:spacing w:before="156" w:beforeLines="50" w:after="156" w:afterLines="50"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特卖商品：翡翠手镯、挂件、挂坠、项链以及部分蜜蜡挂件、手链等</w:t>
      </w:r>
    </w:p>
    <w:p w14:paraId="3A73FBBB">
      <w:pPr>
        <w:spacing w:before="156" w:beforeLines="50" w:after="156" w:afterLines="50"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活动时间：2026年5月1日起</w:t>
      </w:r>
    </w:p>
    <w:p w14:paraId="35E38983">
      <w:pPr>
        <w:spacing w:before="156" w:beforeLines="50" w:after="156" w:afterLines="50"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活动地点</w:t>
      </w:r>
      <w:r>
        <w:rPr>
          <w:rFonts w:hint="eastAsia" w:ascii="Times New Roman" w:hAnsi="Times New Roman" w:eastAsia="宋体"/>
          <w:sz w:val="24"/>
          <w:szCs w:val="24"/>
        </w:rPr>
        <w:t>：</w:t>
      </w:r>
    </w:p>
    <w:p w14:paraId="13FE7A1A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drawing>
          <wp:inline distT="0" distB="0" distL="114300" distR="114300">
            <wp:extent cx="5135245" cy="3742690"/>
            <wp:effectExtent l="0" t="0" r="8255" b="3810"/>
            <wp:docPr id="6" name="图片 6" descr="baddd5f6248584910029dd78df5c31d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addd5f6248584910029dd78df5c31d0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3524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7245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</w:rPr>
        <w:t>中环百联东方商厦</w:t>
      </w:r>
    </w:p>
    <w:p w14:paraId="1B4A98E3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上海市普陀区真光路1288号中环百联东方商厦一楼张铁军翡翠</w:t>
      </w:r>
    </w:p>
    <w:p w14:paraId="0AA77D9B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</w:rPr>
        <w:drawing>
          <wp:inline distT="0" distB="0" distL="114300" distR="114300">
            <wp:extent cx="5266690" cy="2962910"/>
            <wp:effectExtent l="0" t="0" r="10160" b="8890"/>
            <wp:docPr id="2" name="图片 2" descr="6e72d30df457022ada070a0fa7cea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72d30df457022ada070a0fa7ceaa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</w:rPr>
        <w:t>宝山巴黎春天</w:t>
      </w:r>
    </w:p>
    <w:p w14:paraId="2C985343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地址：上海市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宝山区真华路888号1F张铁军翡翠专柜</w:t>
      </w:r>
    </w:p>
    <w:p w14:paraId="032EB33F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1" name="图片 1" descr="700387dd3da60b8e71140a2f7528b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0387dd3da60b8e71140a2f7528b4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F1221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松江商城</w:t>
      </w:r>
    </w:p>
    <w:p w14:paraId="24488A7A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地址：上海市松江区中山中路188号</w:t>
      </w:r>
    </w:p>
    <w:p w14:paraId="39FF15D6">
      <w:pPr>
        <w:spacing w:before="156" w:beforeLines="50" w:after="156" w:afterLines="50" w:line="360" w:lineRule="auto"/>
        <w:jc w:val="center"/>
        <w:rPr>
          <w:rFonts w:ascii="Times New Roman" w:hAnsi="Times New Roman" w:eastAsia="宋体"/>
          <w:b/>
          <w:bCs/>
          <w:sz w:val="24"/>
          <w:szCs w:val="24"/>
          <w:u w:val="single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u w:val="single"/>
        </w:rPr>
        <w:t>特别声明：所有产品一经售出，不退不换，</w:t>
      </w:r>
      <w:r>
        <w:rPr>
          <w:rFonts w:ascii="Times New Roman" w:hAnsi="Times New Roman" w:eastAsia="宋体"/>
          <w:b/>
          <w:bCs/>
          <w:sz w:val="24"/>
          <w:szCs w:val="24"/>
          <w:u w:val="single"/>
        </w:rPr>
        <w:t>最终解释权归属管理人</w:t>
      </w:r>
      <w:r>
        <w:rPr>
          <w:rFonts w:hint="eastAsia" w:ascii="Times New Roman" w:hAnsi="Times New Roman" w:eastAsia="宋体"/>
          <w:b/>
          <w:bCs/>
          <w:sz w:val="24"/>
          <w:szCs w:val="24"/>
          <w:u w:val="single"/>
        </w:rPr>
        <w:t>！</w:t>
      </w:r>
    </w:p>
    <w:p w14:paraId="297B8032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drawing>
          <wp:inline distT="0" distB="0" distL="114300" distR="114300">
            <wp:extent cx="5259070" cy="3944620"/>
            <wp:effectExtent l="0" t="0" r="17780" b="17780"/>
            <wp:docPr id="4" name="图片 4" descr="66c66ddb6e27142709889049a0cd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c66ddb6e27142709889049a0cdf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EC2DD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sz w:val="24"/>
          <w:szCs w:val="24"/>
          <w:lang w:eastAsia="zh-CN"/>
        </w:rPr>
      </w:pPr>
    </w:p>
    <w:p w14:paraId="4CD653A1">
      <w:pPr>
        <w:spacing w:before="156" w:beforeLines="50" w:after="156" w:afterLines="50" w:line="360" w:lineRule="auto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翡翠，能够给您留下的，</w:t>
      </w:r>
    </w:p>
    <w:p w14:paraId="326D706A"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不止是美丽，更是价值和传承，</w:t>
      </w:r>
    </w:p>
    <w:p w14:paraId="2702A32E">
      <w:pPr>
        <w:spacing w:before="156" w:beforeLines="50" w:after="156" w:afterLines="50"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自戴显贵、收藏增值、送礼体面。</w:t>
      </w:r>
    </w:p>
    <w:p w14:paraId="3A42FC3A">
      <w:pPr>
        <w:spacing w:before="156" w:beforeLines="50" w:after="156" w:afterLines="50" w:line="360" w:lineRule="auto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五一抄底好时机，先到先得，错过难再遇！</w:t>
      </w:r>
    </w:p>
    <w:p w14:paraId="7003F021">
      <w:pPr>
        <w:spacing w:before="156" w:beforeLines="50" w:after="156" w:afterLines="50" w:line="360" w:lineRule="auto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期待</w:t>
      </w:r>
    </w:p>
    <w:p w14:paraId="622021E4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“玉”见最美的你！</w:t>
      </w:r>
    </w:p>
    <w:p w14:paraId="5305842B"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/>
          <w:b/>
          <w:bCs/>
          <w:sz w:val="24"/>
          <w:szCs w:val="24"/>
        </w:rPr>
      </w:pPr>
    </w:p>
    <w:p w14:paraId="681ACABE">
      <w:pPr>
        <w:spacing w:before="156" w:beforeLines="50" w:after="156" w:afterLines="50" w:line="360" w:lineRule="auto"/>
        <w:jc w:val="center"/>
        <w:rPr>
          <w:rFonts w:ascii="Times New Roman" w:hAnsi="Times New Roman" w:eastAsia="宋体"/>
          <w:b/>
          <w:bCs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宋体"/>
          <w:b/>
          <w:bCs/>
          <w:i/>
          <w:iCs/>
          <w:sz w:val="24"/>
          <w:szCs w:val="24"/>
          <w:u w:val="single"/>
        </w:rPr>
        <w:t>另管理人在</w:t>
      </w:r>
      <w:r>
        <w:rPr>
          <w:rFonts w:hint="eastAsia" w:ascii="Times New Roman" w:hAnsi="Times New Roman" w:eastAsia="宋体"/>
          <w:b/>
          <w:bCs/>
          <w:i/>
          <w:iCs/>
          <w:sz w:val="24"/>
          <w:szCs w:val="24"/>
          <w:u w:val="single"/>
          <w:lang w:val="en-US" w:eastAsia="zh-CN"/>
        </w:rPr>
        <w:t>淘宝</w:t>
      </w:r>
      <w:r>
        <w:rPr>
          <w:rFonts w:hint="eastAsia" w:ascii="Times New Roman" w:hAnsi="Times New Roman" w:eastAsia="宋体"/>
          <w:b/>
          <w:bCs/>
          <w:i/>
          <w:iCs/>
          <w:sz w:val="24"/>
          <w:szCs w:val="24"/>
          <w:u w:val="single"/>
        </w:rPr>
        <w:t>平台持续推出大型翡翠摆件</w:t>
      </w:r>
      <w:r>
        <w:rPr>
          <w:rFonts w:hint="eastAsia" w:ascii="Times New Roman" w:hAnsi="Times New Roman" w:eastAsia="宋体"/>
          <w:b/>
          <w:bCs/>
          <w:i/>
          <w:iCs/>
          <w:sz w:val="24"/>
          <w:szCs w:val="24"/>
          <w:u w:val="single"/>
          <w:lang w:eastAsia="zh-CN"/>
        </w:rPr>
        <w:t>、</w:t>
      </w:r>
      <w:r>
        <w:rPr>
          <w:rFonts w:hint="eastAsia" w:ascii="Times New Roman" w:hAnsi="Times New Roman" w:eastAsia="宋体"/>
          <w:b/>
          <w:bCs/>
          <w:i/>
          <w:iCs/>
          <w:sz w:val="24"/>
          <w:szCs w:val="24"/>
          <w:u w:val="single"/>
          <w:lang w:val="en-US" w:eastAsia="zh-CN"/>
        </w:rPr>
        <w:t>手镯、挂件等</w:t>
      </w:r>
      <w:r>
        <w:rPr>
          <w:rFonts w:hint="eastAsia" w:ascii="Times New Roman" w:hAnsi="Times New Roman" w:eastAsia="宋体"/>
          <w:b/>
          <w:bCs/>
          <w:i/>
          <w:iCs/>
          <w:sz w:val="24"/>
          <w:szCs w:val="24"/>
          <w:u w:val="single"/>
        </w:rPr>
        <w:t>的拍卖</w:t>
      </w:r>
      <w:r>
        <w:rPr>
          <w:rFonts w:hint="eastAsia" w:ascii="Times New Roman" w:hAnsi="Times New Roman" w:eastAsia="宋体"/>
          <w:b/>
          <w:bCs/>
          <w:i/>
          <w:iCs/>
          <w:sz w:val="24"/>
          <w:szCs w:val="24"/>
          <w:u w:val="single"/>
          <w:lang w:eastAsia="zh-CN"/>
        </w:rPr>
        <w:t>，</w:t>
      </w:r>
      <w:r>
        <w:rPr>
          <w:rFonts w:hint="eastAsia" w:ascii="Times New Roman" w:hAnsi="Times New Roman" w:eastAsia="宋体"/>
          <w:b/>
          <w:bCs/>
          <w:i/>
          <w:iCs/>
          <w:sz w:val="24"/>
          <w:szCs w:val="24"/>
          <w:u w:val="single"/>
          <w:lang w:val="en-US" w:eastAsia="zh-CN"/>
        </w:rPr>
        <w:t>敬请关注</w:t>
      </w:r>
      <w:r>
        <w:rPr>
          <w:rFonts w:hint="eastAsia" w:ascii="Times New Roman" w:hAnsi="Times New Roman" w:eastAsia="宋体"/>
          <w:b/>
          <w:bCs/>
          <w:i/>
          <w:iCs/>
          <w:sz w:val="24"/>
          <w:szCs w:val="24"/>
          <w:u w:val="single"/>
        </w:rPr>
        <w:t>。</w:t>
      </w:r>
    </w:p>
    <w:p w14:paraId="05C10412">
      <w:pPr>
        <w:spacing w:before="156" w:beforeLines="50" w:after="156" w:afterLines="50" w:line="360" w:lineRule="auto"/>
        <w:jc w:val="right"/>
        <w:rPr>
          <w:rFonts w:ascii="Times New Roman" w:hAnsi="Times New Roman" w:eastAsia="宋体"/>
          <w:sz w:val="24"/>
          <w:szCs w:val="24"/>
        </w:rPr>
      </w:pPr>
    </w:p>
    <w:p w14:paraId="58C5CAA7">
      <w:pPr>
        <w:spacing w:before="156" w:beforeLines="50" w:after="156" w:afterLines="50" w:line="360" w:lineRule="auto"/>
        <w:jc w:val="righ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上海张铁军翡翠股份有限公司管理人</w:t>
      </w:r>
    </w:p>
    <w:p w14:paraId="36FC57A3">
      <w:pPr>
        <w:spacing w:before="156" w:beforeLines="50" w:after="156" w:afterLines="50" w:line="360" w:lineRule="auto"/>
        <w:jc w:val="righ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sz w:val="24"/>
          <w:szCs w:val="24"/>
        </w:rPr>
        <w:t>年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28</w:t>
      </w:r>
      <w:r>
        <w:rPr>
          <w:rFonts w:hint="eastAsia" w:ascii="Times New Roman" w:hAnsi="Times New Roman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6D"/>
    <w:rsid w:val="001C1167"/>
    <w:rsid w:val="0021194D"/>
    <w:rsid w:val="00471722"/>
    <w:rsid w:val="005C088A"/>
    <w:rsid w:val="00694737"/>
    <w:rsid w:val="006F686D"/>
    <w:rsid w:val="008549DE"/>
    <w:rsid w:val="00855E68"/>
    <w:rsid w:val="0086793D"/>
    <w:rsid w:val="008D1B1C"/>
    <w:rsid w:val="009943A2"/>
    <w:rsid w:val="00A74C7C"/>
    <w:rsid w:val="00AE6D1A"/>
    <w:rsid w:val="00AF005D"/>
    <w:rsid w:val="00B278B9"/>
    <w:rsid w:val="00C21F56"/>
    <w:rsid w:val="00E140C0"/>
    <w:rsid w:val="00EB56D5"/>
    <w:rsid w:val="00EB5F2E"/>
    <w:rsid w:val="00F23339"/>
    <w:rsid w:val="00F93D42"/>
    <w:rsid w:val="00FC7ECB"/>
    <w:rsid w:val="01AB7B8E"/>
    <w:rsid w:val="03DD1CE2"/>
    <w:rsid w:val="05AE33AF"/>
    <w:rsid w:val="05DE1D42"/>
    <w:rsid w:val="09B95A2F"/>
    <w:rsid w:val="09FB55B8"/>
    <w:rsid w:val="0A536495"/>
    <w:rsid w:val="0AC16290"/>
    <w:rsid w:val="0BAC7CA5"/>
    <w:rsid w:val="0C2C773C"/>
    <w:rsid w:val="0C8D626F"/>
    <w:rsid w:val="0E323572"/>
    <w:rsid w:val="0E3A5F83"/>
    <w:rsid w:val="0E4532A6"/>
    <w:rsid w:val="10F66AD9"/>
    <w:rsid w:val="11480CF7"/>
    <w:rsid w:val="11E8141D"/>
    <w:rsid w:val="1218482D"/>
    <w:rsid w:val="12F42BA4"/>
    <w:rsid w:val="140D6614"/>
    <w:rsid w:val="165A18B8"/>
    <w:rsid w:val="19197809"/>
    <w:rsid w:val="1C582E89"/>
    <w:rsid w:val="1CF55DD4"/>
    <w:rsid w:val="1CF71F7D"/>
    <w:rsid w:val="1D156539"/>
    <w:rsid w:val="1E9F6A81"/>
    <w:rsid w:val="1EC71AB5"/>
    <w:rsid w:val="1F666BD8"/>
    <w:rsid w:val="20020305"/>
    <w:rsid w:val="21B300CF"/>
    <w:rsid w:val="256B13EC"/>
    <w:rsid w:val="2580651A"/>
    <w:rsid w:val="26DF7A5E"/>
    <w:rsid w:val="27E547DE"/>
    <w:rsid w:val="29787C34"/>
    <w:rsid w:val="298A36D3"/>
    <w:rsid w:val="2A831DDB"/>
    <w:rsid w:val="2AA25548"/>
    <w:rsid w:val="2B6E5792"/>
    <w:rsid w:val="2B7F799F"/>
    <w:rsid w:val="2C8763E0"/>
    <w:rsid w:val="2DA37249"/>
    <w:rsid w:val="30E16A06"/>
    <w:rsid w:val="3112096E"/>
    <w:rsid w:val="3148438F"/>
    <w:rsid w:val="363E24E7"/>
    <w:rsid w:val="36723C5D"/>
    <w:rsid w:val="36CF7301"/>
    <w:rsid w:val="3727713D"/>
    <w:rsid w:val="3A43428E"/>
    <w:rsid w:val="3A6A5BAE"/>
    <w:rsid w:val="3F744EE9"/>
    <w:rsid w:val="3FC7326B"/>
    <w:rsid w:val="41151CA1"/>
    <w:rsid w:val="419569A4"/>
    <w:rsid w:val="41FB544E"/>
    <w:rsid w:val="43866888"/>
    <w:rsid w:val="44F77700"/>
    <w:rsid w:val="47596E9F"/>
    <w:rsid w:val="4821073D"/>
    <w:rsid w:val="48223734"/>
    <w:rsid w:val="48B84099"/>
    <w:rsid w:val="4B06733D"/>
    <w:rsid w:val="4B247907"/>
    <w:rsid w:val="4BAB57EF"/>
    <w:rsid w:val="4BFA1701"/>
    <w:rsid w:val="4CBF59F6"/>
    <w:rsid w:val="4E775E5C"/>
    <w:rsid w:val="508D5E0B"/>
    <w:rsid w:val="51204589"/>
    <w:rsid w:val="52884ADC"/>
    <w:rsid w:val="52F061DD"/>
    <w:rsid w:val="56440D1A"/>
    <w:rsid w:val="57D936E4"/>
    <w:rsid w:val="58792D9D"/>
    <w:rsid w:val="59A6687E"/>
    <w:rsid w:val="5A504131"/>
    <w:rsid w:val="5AF31683"/>
    <w:rsid w:val="5B9839D4"/>
    <w:rsid w:val="5D2E6280"/>
    <w:rsid w:val="5E262E92"/>
    <w:rsid w:val="5FB077C9"/>
    <w:rsid w:val="6291178B"/>
    <w:rsid w:val="66CF4630"/>
    <w:rsid w:val="6A070584"/>
    <w:rsid w:val="6D4C6094"/>
    <w:rsid w:val="6D9143ED"/>
    <w:rsid w:val="6ED00F45"/>
    <w:rsid w:val="70EA0369"/>
    <w:rsid w:val="71BB2380"/>
    <w:rsid w:val="71CF3736"/>
    <w:rsid w:val="760E76B0"/>
    <w:rsid w:val="768820D3"/>
    <w:rsid w:val="77562203"/>
    <w:rsid w:val="77AD276B"/>
    <w:rsid w:val="78D87374"/>
    <w:rsid w:val="7AC06311"/>
    <w:rsid w:val="7AF16E13"/>
    <w:rsid w:val="7D115EA6"/>
    <w:rsid w:val="7ED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899</Characters>
  <Lines>17</Lines>
  <Paragraphs>20</Paragraphs>
  <TotalTime>0</TotalTime>
  <ScaleCrop>false</ScaleCrop>
  <LinksUpToDate>false</LinksUpToDate>
  <CharactersWithSpaces>901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2025-08-17T04:44:00Z</dcterms:created>
  <dc:creator>沈 之昊</dc:creator>
  <cp:lastModifiedBy>syp</cp:lastModifiedBy>
  <dcterms:modified xsi:type="dcterms:W3CDTF">2026-04-23T11:17:43Z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eyJoZGlkIjoiM2JhNjNmZGU4OWI0MTQxYTRkNjAxMzUzNjI4ODViZGMiLCJ1c2VySWQiOiIyNDA5NDIyODkifQ==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B9217A6DF1CE4E8DA70EFE9F91D0AAAA_13</vt:lpwstr>
  </property>
</Properties>
</file>