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C1EF29">
      <w:pPr>
        <w:keepNext w:val="0"/>
        <w:keepLines w:val="0"/>
        <w:pageBreakBefore w:val="0"/>
        <w:widowControl/>
        <w:kinsoku w:val="0"/>
        <w:wordWrap/>
        <w:overflowPunct/>
        <w:topLinePunct w:val="0"/>
        <w:autoSpaceDE w:val="0"/>
        <w:autoSpaceDN w:val="0"/>
        <w:bidi w:val="0"/>
        <w:adjustRightInd w:val="0"/>
        <w:snapToGrid w:val="0"/>
        <w:spacing w:line="460" w:lineRule="exact"/>
        <w:jc w:val="both"/>
        <w:textAlignment w:val="baseline"/>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附件一</w:t>
      </w:r>
    </w:p>
    <w:p w14:paraId="1EF7E0DE">
      <w:pPr>
        <w:keepNext w:val="0"/>
        <w:keepLines w:val="0"/>
        <w:pageBreakBefore w:val="0"/>
        <w:widowControl/>
        <w:kinsoku w:val="0"/>
        <w:wordWrap/>
        <w:overflowPunct/>
        <w:topLinePunct w:val="0"/>
        <w:autoSpaceDE w:val="0"/>
        <w:autoSpaceDN w:val="0"/>
        <w:bidi w:val="0"/>
        <w:adjustRightInd w:val="0"/>
        <w:snapToGrid w:val="0"/>
        <w:spacing w:line="460" w:lineRule="exact"/>
        <w:jc w:val="center"/>
        <w:textAlignment w:val="baseline"/>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债权申报须知</w:t>
      </w:r>
    </w:p>
    <w:p w14:paraId="2E6B4EDE">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宋体" w:hAnsi="宋体" w:eastAsia="宋体" w:cs="宋体"/>
          <w:sz w:val="28"/>
          <w:szCs w:val="28"/>
        </w:rPr>
      </w:pPr>
    </w:p>
    <w:p w14:paraId="7795319A">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依据《中华人民共和国企业破产法》及相关</w:t>
      </w:r>
      <w:r>
        <w:rPr>
          <w:rFonts w:hint="eastAsia" w:ascii="方正仿宋_GB2312" w:hAnsi="方正仿宋_GB2312" w:eastAsia="方正仿宋_GB2312" w:cs="方正仿宋_GB2312"/>
          <w:sz w:val="28"/>
          <w:szCs w:val="28"/>
          <w:lang w:eastAsia="zh-CN"/>
        </w:rPr>
        <w:t>法律法规</w:t>
      </w:r>
      <w:r>
        <w:rPr>
          <w:rFonts w:hint="eastAsia" w:ascii="方正仿宋_GB2312" w:hAnsi="方正仿宋_GB2312" w:eastAsia="方正仿宋_GB2312" w:cs="方正仿宋_GB2312"/>
          <w:sz w:val="28"/>
          <w:szCs w:val="28"/>
        </w:rPr>
        <w:t>和司法解释的规定，债务人管理人就债权人在申报债权时的相关注意事项说明如下：</w:t>
      </w:r>
    </w:p>
    <w:p w14:paraId="4D5CB988">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楷体" w:hAnsi="楷体" w:eastAsia="楷体" w:cs="楷体"/>
          <w:b w:val="0"/>
          <w:bCs w:val="0"/>
          <w:sz w:val="28"/>
          <w:szCs w:val="28"/>
        </w:rPr>
      </w:pPr>
      <w:r>
        <w:rPr>
          <w:rFonts w:hint="eastAsia" w:ascii="楷体" w:hAnsi="楷体" w:eastAsia="楷体" w:cs="楷体"/>
          <w:b w:val="0"/>
          <w:bCs w:val="0"/>
          <w:sz w:val="28"/>
          <w:szCs w:val="28"/>
        </w:rPr>
        <w:t>1.申报债权的范围</w:t>
      </w:r>
    </w:p>
    <w:p w14:paraId="49E749F0">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1.1 申报期限：债权人应于</w:t>
      </w:r>
      <w:r>
        <w:rPr>
          <w:rFonts w:hint="eastAsia" w:ascii="方正仿宋_GB2312" w:hAnsi="方正仿宋_GB2312" w:eastAsia="方正仿宋_GB2312" w:cs="方正仿宋_GB2312"/>
          <w:sz w:val="28"/>
          <w:szCs w:val="28"/>
          <w:lang w:val="en-US" w:eastAsia="zh-CN"/>
        </w:rPr>
        <w:t>2026</w:t>
      </w:r>
      <w:r>
        <w:rPr>
          <w:rFonts w:hint="eastAsia" w:ascii="方正仿宋_GB2312" w:hAnsi="方正仿宋_GB2312" w:eastAsia="方正仿宋_GB2312" w:cs="方正仿宋_GB2312"/>
          <w:sz w:val="28"/>
          <w:szCs w:val="28"/>
        </w:rPr>
        <w:t>年</w:t>
      </w:r>
      <w:r>
        <w:rPr>
          <w:rFonts w:hint="eastAsia" w:ascii="方正仿宋_GB2312" w:hAnsi="方正仿宋_GB2312" w:eastAsia="方正仿宋_GB2312" w:cs="方正仿宋_GB2312"/>
          <w:sz w:val="28"/>
          <w:szCs w:val="28"/>
          <w:lang w:val="en-US" w:eastAsia="zh-CN"/>
        </w:rPr>
        <w:t>6</w:t>
      </w:r>
      <w:r>
        <w:rPr>
          <w:rFonts w:hint="eastAsia" w:ascii="方正仿宋_GB2312" w:hAnsi="方正仿宋_GB2312" w:eastAsia="方正仿宋_GB2312" w:cs="方正仿宋_GB2312"/>
          <w:sz w:val="28"/>
          <w:szCs w:val="28"/>
        </w:rPr>
        <w:t>月</w:t>
      </w:r>
      <w:r>
        <w:rPr>
          <w:rFonts w:hint="eastAsia" w:ascii="方正仿宋_GB2312" w:hAnsi="方正仿宋_GB2312" w:eastAsia="方正仿宋_GB2312" w:cs="方正仿宋_GB2312"/>
          <w:sz w:val="28"/>
          <w:szCs w:val="28"/>
          <w:lang w:val="en-US" w:eastAsia="zh-CN"/>
        </w:rPr>
        <w:t>30</w:t>
      </w:r>
      <w:r>
        <w:rPr>
          <w:rFonts w:hint="eastAsia" w:ascii="方正仿宋_GB2312" w:hAnsi="方正仿宋_GB2312" w:eastAsia="方正仿宋_GB2312" w:cs="方正仿宋_GB2312"/>
          <w:sz w:val="28"/>
          <w:szCs w:val="28"/>
        </w:rPr>
        <w:t>日</w:t>
      </w:r>
      <w:r>
        <w:rPr>
          <w:rFonts w:hint="eastAsia" w:ascii="方正仿宋_GB2312" w:hAnsi="方正仿宋_GB2312" w:eastAsia="方正仿宋_GB2312" w:cs="方正仿宋_GB2312"/>
          <w:sz w:val="28"/>
          <w:szCs w:val="28"/>
          <w:lang w:val="en-US" w:eastAsia="zh-CN"/>
        </w:rPr>
        <w:t>16:00</w:t>
      </w:r>
      <w:r>
        <w:rPr>
          <w:rFonts w:hint="eastAsia" w:ascii="方正仿宋_GB2312" w:hAnsi="方正仿宋_GB2312" w:eastAsia="方正仿宋_GB2312" w:cs="方正仿宋_GB2312"/>
          <w:sz w:val="28"/>
          <w:szCs w:val="28"/>
        </w:rPr>
        <w:t>前向管理人申报债权。</w:t>
      </w:r>
    </w:p>
    <w:p w14:paraId="390836AC">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1.2 连带债权人可以由其中一人代表全体连带债权人申报债权，也可以共同申报债权。</w:t>
      </w:r>
    </w:p>
    <w:p w14:paraId="11540179">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1.3 债务人的保证人或者其他连带债务人已经代替债务人</w:t>
      </w:r>
      <w:r>
        <w:rPr>
          <w:rFonts w:hint="eastAsia" w:ascii="方正仿宋_GB2312" w:hAnsi="方正仿宋_GB2312" w:eastAsia="方正仿宋_GB2312" w:cs="方正仿宋_GB2312"/>
          <w:sz w:val="28"/>
          <w:szCs w:val="28"/>
          <w:lang w:val="en-US" w:eastAsia="zh-CN"/>
        </w:rPr>
        <w:t>清偿</w:t>
      </w:r>
      <w:r>
        <w:rPr>
          <w:rFonts w:hint="eastAsia" w:ascii="方正仿宋_GB2312" w:hAnsi="方正仿宋_GB2312" w:eastAsia="方正仿宋_GB2312" w:cs="方正仿宋_GB2312"/>
          <w:sz w:val="28"/>
          <w:szCs w:val="28"/>
        </w:rPr>
        <w:t>债务的，以其对债务人的求偿权申报债权。债务人的保证人或者其他连带债务人尚未代替债务人清偿债务的，以其对债务人的将来求偿权申报债权。但是，债权人已经向管理人申报全部债权的除外。</w:t>
      </w:r>
    </w:p>
    <w:p w14:paraId="547E0EC3">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1.4 连带债务人数人被裁定适用《</w:t>
      </w:r>
      <w:r>
        <w:rPr>
          <w:rFonts w:hint="eastAsia" w:ascii="方正仿宋_GB2312" w:hAnsi="方正仿宋_GB2312" w:eastAsia="方正仿宋_GB2312" w:cs="方正仿宋_GB2312"/>
          <w:sz w:val="28"/>
          <w:szCs w:val="28"/>
          <w:lang w:eastAsia="zh-CN"/>
        </w:rPr>
        <w:t>中华人民共和国企业破产法</w:t>
      </w:r>
      <w:r>
        <w:rPr>
          <w:rFonts w:hint="eastAsia" w:ascii="方正仿宋_GB2312" w:hAnsi="方正仿宋_GB2312" w:eastAsia="方正仿宋_GB2312" w:cs="方正仿宋_GB2312"/>
          <w:sz w:val="28"/>
          <w:szCs w:val="28"/>
        </w:rPr>
        <w:t>》规定的程序的，其债权人有权就全部债权分别在各破产案件中申报债权。</w:t>
      </w:r>
    </w:p>
    <w:p w14:paraId="620D6622">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1.5 管理人或者债务人依照《</w:t>
      </w:r>
      <w:r>
        <w:rPr>
          <w:rFonts w:hint="eastAsia" w:ascii="方正仿宋_GB2312" w:hAnsi="方正仿宋_GB2312" w:eastAsia="方正仿宋_GB2312" w:cs="方正仿宋_GB2312"/>
          <w:sz w:val="28"/>
          <w:szCs w:val="28"/>
          <w:lang w:eastAsia="zh-CN"/>
        </w:rPr>
        <w:t>中华人民共和国企业破产法</w:t>
      </w:r>
      <w:r>
        <w:rPr>
          <w:rFonts w:hint="eastAsia" w:ascii="方正仿宋_GB2312" w:hAnsi="方正仿宋_GB2312" w:eastAsia="方正仿宋_GB2312" w:cs="方正仿宋_GB2312"/>
          <w:sz w:val="28"/>
          <w:szCs w:val="28"/>
        </w:rPr>
        <w:t>》规定解除合同的，对</w:t>
      </w:r>
      <w:bookmarkStart w:id="0" w:name="_GoBack"/>
      <w:bookmarkEnd w:id="0"/>
      <w:r>
        <w:rPr>
          <w:rFonts w:hint="eastAsia" w:ascii="方正仿宋_GB2312" w:hAnsi="方正仿宋_GB2312" w:eastAsia="方正仿宋_GB2312" w:cs="方正仿宋_GB2312"/>
          <w:sz w:val="28"/>
          <w:szCs w:val="28"/>
        </w:rPr>
        <w:t>方当事人以因合同解除所产生的损害赔偿请求权申报债权。</w:t>
      </w:r>
    </w:p>
    <w:p w14:paraId="79C37787">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1.6 债务人是委托合同的委托人，被裁定适用《</w:t>
      </w:r>
      <w:r>
        <w:rPr>
          <w:rFonts w:hint="eastAsia" w:ascii="方正仿宋_GB2312" w:hAnsi="方正仿宋_GB2312" w:eastAsia="方正仿宋_GB2312" w:cs="方正仿宋_GB2312"/>
          <w:sz w:val="28"/>
          <w:szCs w:val="28"/>
          <w:lang w:eastAsia="zh-CN"/>
        </w:rPr>
        <w:t>中华人民共和国企业破产法</w:t>
      </w:r>
      <w:r>
        <w:rPr>
          <w:rFonts w:hint="eastAsia" w:ascii="方正仿宋_GB2312" w:hAnsi="方正仿宋_GB2312" w:eastAsia="方正仿宋_GB2312" w:cs="方正仿宋_GB2312"/>
          <w:sz w:val="28"/>
          <w:szCs w:val="28"/>
        </w:rPr>
        <w:t>》</w:t>
      </w:r>
      <w:r>
        <w:rPr>
          <w:rFonts w:hint="eastAsia" w:ascii="方正仿宋_GB2312" w:hAnsi="方正仿宋_GB2312" w:eastAsia="方正仿宋_GB2312" w:cs="方正仿宋_GB2312"/>
          <w:sz w:val="28"/>
          <w:szCs w:val="28"/>
          <w:lang w:eastAsia="zh-CN"/>
        </w:rPr>
        <w:t>规定</w:t>
      </w:r>
      <w:r>
        <w:rPr>
          <w:rFonts w:hint="eastAsia" w:ascii="方正仿宋_GB2312" w:hAnsi="方正仿宋_GB2312" w:eastAsia="方正仿宋_GB2312" w:cs="方正仿宋_GB2312"/>
          <w:sz w:val="28"/>
          <w:szCs w:val="28"/>
        </w:rPr>
        <w:t>的程序，受托人不知该事实，继续处理委托事务的，受托人以由此产生的请求权申报债权。</w:t>
      </w:r>
    </w:p>
    <w:p w14:paraId="1BF01B30">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1.7 债务人是票据的出票人，被裁定适用《</w:t>
      </w:r>
      <w:r>
        <w:rPr>
          <w:rFonts w:hint="eastAsia" w:ascii="方正仿宋_GB2312" w:hAnsi="方正仿宋_GB2312" w:eastAsia="方正仿宋_GB2312" w:cs="方正仿宋_GB2312"/>
          <w:sz w:val="28"/>
          <w:szCs w:val="28"/>
          <w:lang w:eastAsia="zh-CN"/>
        </w:rPr>
        <w:t>中华人民共和国企业破产法</w:t>
      </w:r>
      <w:r>
        <w:rPr>
          <w:rFonts w:hint="eastAsia" w:ascii="方正仿宋_GB2312" w:hAnsi="方正仿宋_GB2312" w:eastAsia="方正仿宋_GB2312" w:cs="方正仿宋_GB2312"/>
          <w:sz w:val="28"/>
          <w:szCs w:val="28"/>
        </w:rPr>
        <w:t>》规定的程序，该票据的付款人继续付款或者承兑的，付款人以由此产生的请求权申报债权。</w:t>
      </w:r>
    </w:p>
    <w:p w14:paraId="6C760FE7">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1.8 附条件、附期限的债权和诉讼、仲裁未决的债权，债权人可以申报。</w:t>
      </w:r>
    </w:p>
    <w:p w14:paraId="32BD83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1.9 未到期债权，在破产申请受理时视为已到期；附利息的债权自破产申请受理时停止计息。</w:t>
      </w:r>
    </w:p>
    <w:p w14:paraId="7F1D5D19">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楷体" w:hAnsi="楷体" w:eastAsia="楷体" w:cs="楷体"/>
          <w:b w:val="0"/>
          <w:bCs w:val="0"/>
          <w:sz w:val="28"/>
          <w:szCs w:val="28"/>
        </w:rPr>
      </w:pPr>
      <w:r>
        <w:rPr>
          <w:rFonts w:hint="eastAsia" w:ascii="楷体" w:hAnsi="楷体" w:eastAsia="楷体" w:cs="楷体"/>
          <w:b w:val="0"/>
          <w:bCs w:val="0"/>
          <w:sz w:val="28"/>
          <w:szCs w:val="28"/>
        </w:rPr>
        <w:t>2.申报债权的要求</w:t>
      </w:r>
    </w:p>
    <w:p w14:paraId="147ACEAA">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2.1 债权人应当在人民法院确定的债权申报期限内向管理人申报债权。</w:t>
      </w:r>
    </w:p>
    <w:p w14:paraId="734CBFD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2.2 债权人在申报债权时应同时提交申报人声明、债权申报表、</w:t>
      </w:r>
    </w:p>
    <w:p w14:paraId="0F592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债权申报文件清单，并由债权人签章确认</w:t>
      </w:r>
      <w:r>
        <w:rPr>
          <w:rFonts w:hint="eastAsia" w:ascii="方正仿宋_GB2312" w:hAnsi="方正仿宋_GB2312" w:eastAsia="方正仿宋_GB2312" w:cs="方正仿宋_GB2312"/>
          <w:b/>
          <w:bCs/>
          <w:sz w:val="28"/>
          <w:szCs w:val="28"/>
        </w:rPr>
        <w:t>（原件自行保留，管理人不接收原件）</w:t>
      </w:r>
      <w:r>
        <w:rPr>
          <w:rFonts w:hint="eastAsia" w:ascii="方正仿宋_GB2312" w:hAnsi="方正仿宋_GB2312" w:eastAsia="方正仿宋_GB2312" w:cs="方正仿宋_GB2312"/>
          <w:sz w:val="28"/>
          <w:szCs w:val="28"/>
        </w:rPr>
        <w:t>。</w:t>
      </w:r>
    </w:p>
    <w:p w14:paraId="74CCF085">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eastAsia="zh-CN"/>
        </w:rPr>
        <w:t xml:space="preserve">2.3 </w:t>
      </w:r>
      <w:r>
        <w:rPr>
          <w:rFonts w:hint="eastAsia" w:ascii="方正仿宋_GB2312" w:hAnsi="方正仿宋_GB2312" w:eastAsia="方正仿宋_GB2312" w:cs="方正仿宋_GB2312"/>
          <w:sz w:val="28"/>
          <w:szCs w:val="28"/>
        </w:rPr>
        <w:t>债权申报表的空格部分均应如实、详细、完整填写（备注除外）各类信息。不得借用他人银行账号。</w:t>
      </w:r>
    </w:p>
    <w:p w14:paraId="27BF0F83">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2.4 债权人在申报债权时应同时提交债权人的主体资格文件，包括身份证明或企业法人营业执照等。</w:t>
      </w:r>
    </w:p>
    <w:p w14:paraId="5370E76A">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sz w:val="28"/>
          <w:szCs w:val="28"/>
        </w:rPr>
      </w:pPr>
      <w:r>
        <w:rPr>
          <w:rFonts w:hint="eastAsia" w:ascii="方正仿宋_GB2312" w:hAnsi="方正仿宋_GB2312" w:eastAsia="方正仿宋_GB2312" w:cs="方正仿宋_GB2312"/>
          <w:sz w:val="28"/>
          <w:szCs w:val="28"/>
        </w:rPr>
        <w:t>2.5 债权人如委托他人申报债权的，应提交授权委托书，代理人的身份证复印件。授权委托代理人是律师的，还应提交律师事务所的指派函及律师执业证复印件。</w:t>
      </w:r>
    </w:p>
    <w:p w14:paraId="301BF6F7">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楷体" w:hAnsi="楷体" w:eastAsia="楷体" w:cs="楷体"/>
          <w:b w:val="0"/>
          <w:bCs w:val="0"/>
          <w:sz w:val="28"/>
          <w:szCs w:val="28"/>
        </w:rPr>
      </w:pPr>
      <w:r>
        <w:rPr>
          <w:rFonts w:hint="eastAsia" w:ascii="楷体" w:hAnsi="楷体" w:eastAsia="楷体" w:cs="楷体"/>
          <w:b w:val="0"/>
          <w:bCs w:val="0"/>
          <w:sz w:val="28"/>
          <w:szCs w:val="28"/>
        </w:rPr>
        <w:t>3.申报债权的条件</w:t>
      </w:r>
    </w:p>
    <w:p w14:paraId="31BAAD54">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3.1 债权人申报债权金额必须确定（同一申报人只能申报一个债权总额），并提交有关证据。债权事实与理由应明确具体计算方式。债权计算清单应逐笔写明每笔债权的业务主体、形成过程、申报依据等。申报的债权以外币为结算货币的，以法院裁定受理破产申请之日的人民银行公布的外汇牌价中间价折算人民币计值。</w:t>
      </w:r>
    </w:p>
    <w:p w14:paraId="17D506B7">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3.2 债权人申报债权时，应当说明有无财产担保。有财产担保的</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rPr>
        <w:t>应填写有优先权的债权金额、担保方式及担保财产名称，还应提交财产担保证据。存在保证担保的，应详细说明债务人</w:t>
      </w:r>
      <w:r>
        <w:rPr>
          <w:rFonts w:hint="eastAsia" w:ascii="方正仿宋_GB2312" w:hAnsi="方正仿宋_GB2312" w:eastAsia="方正仿宋_GB2312" w:cs="方正仿宋_GB2312"/>
          <w:sz w:val="28"/>
          <w:szCs w:val="28"/>
          <w:lang w:eastAsia="zh-CN"/>
        </w:rPr>
        <w:t>是</w:t>
      </w:r>
      <w:r>
        <w:rPr>
          <w:rFonts w:hint="eastAsia" w:ascii="方正仿宋_GB2312" w:hAnsi="方正仿宋_GB2312" w:eastAsia="方正仿宋_GB2312" w:cs="方正仿宋_GB2312"/>
          <w:sz w:val="28"/>
          <w:szCs w:val="28"/>
          <w:lang w:val="en-US" w:eastAsia="zh-CN"/>
        </w:rPr>
        <w:t>否系</w:t>
      </w:r>
      <w:r>
        <w:rPr>
          <w:rFonts w:hint="eastAsia" w:ascii="方正仿宋_GB2312" w:hAnsi="方正仿宋_GB2312" w:eastAsia="方正仿宋_GB2312" w:cs="方正仿宋_GB2312"/>
          <w:sz w:val="28"/>
          <w:szCs w:val="28"/>
        </w:rPr>
        <w:t>主债务人，主债务人和保证人的主体及偿债情况，有无他人的财产担保等，并提交相关证据。申报的债权是连带债权的，应详细说明。</w:t>
      </w:r>
    </w:p>
    <w:p w14:paraId="3A63DD40">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3.3 债权人申报债权时应提交与原件内容核对一致的复印件 1 套</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rPr>
        <w:t>并附充分证明申报债权的真实合法存在</w:t>
      </w:r>
      <w:r>
        <w:rPr>
          <w:rFonts w:hint="eastAsia" w:ascii="方正仿宋_GB2312" w:hAnsi="方正仿宋_GB2312" w:eastAsia="方正仿宋_GB2312" w:cs="方正仿宋_GB2312"/>
          <w:sz w:val="28"/>
          <w:szCs w:val="28"/>
          <w:lang w:eastAsia="zh-CN"/>
        </w:rPr>
        <w:t>的</w:t>
      </w:r>
      <w:r>
        <w:rPr>
          <w:rFonts w:hint="eastAsia" w:ascii="方正仿宋_GB2312" w:hAnsi="方正仿宋_GB2312" w:eastAsia="方正仿宋_GB2312" w:cs="方正仿宋_GB2312"/>
          <w:sz w:val="28"/>
          <w:szCs w:val="28"/>
          <w:lang w:val="en-US" w:eastAsia="zh-CN"/>
        </w:rPr>
        <w:t>证据材料</w:t>
      </w:r>
      <w:r>
        <w:rPr>
          <w:rFonts w:hint="eastAsia" w:ascii="方正仿宋_GB2312" w:hAnsi="方正仿宋_GB2312" w:eastAsia="方正仿宋_GB2312" w:cs="方正仿宋_GB2312"/>
          <w:sz w:val="28"/>
          <w:szCs w:val="28"/>
        </w:rPr>
        <w:t>。合同债权应提供与原件内容核对一致的合同</w:t>
      </w:r>
      <w:r>
        <w:rPr>
          <w:rFonts w:hint="eastAsia" w:ascii="方正仿宋_GB2312" w:hAnsi="方正仿宋_GB2312" w:eastAsia="方正仿宋_GB2312" w:cs="方正仿宋_GB2312"/>
          <w:sz w:val="28"/>
          <w:szCs w:val="28"/>
          <w:lang w:val="en-US" w:eastAsia="zh-CN"/>
        </w:rPr>
        <w:t>复印件</w:t>
      </w:r>
      <w:r>
        <w:rPr>
          <w:rFonts w:hint="eastAsia" w:ascii="方正仿宋_GB2312" w:hAnsi="方正仿宋_GB2312" w:eastAsia="方正仿宋_GB2312" w:cs="方正仿宋_GB2312"/>
          <w:sz w:val="28"/>
          <w:szCs w:val="28"/>
        </w:rPr>
        <w:t>及实际履行证据，借贷债权除提供借款合同外还应提供实际出借资金证据。</w:t>
      </w:r>
    </w:p>
    <w:p w14:paraId="2D47F4BB">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3.4 为提高清算效率，申报期限内提交的证据不能充分证明申报债权真实合法的，将不予确认。申报期满管理人不再接收补充证据。</w:t>
      </w:r>
    </w:p>
    <w:p w14:paraId="2F84171D">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3.5 债权人应如实扣减已受偿金额，如未如实扣减造成申报债权金额部分虚假，债权人将承担全部申报债权不予确认、免受清偿的后果。</w:t>
      </w:r>
    </w:p>
    <w:p w14:paraId="70B2BD38">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楷体" w:hAnsi="楷体" w:eastAsia="楷体" w:cs="楷体"/>
          <w:b w:val="0"/>
          <w:bCs w:val="0"/>
          <w:sz w:val="28"/>
          <w:szCs w:val="28"/>
        </w:rPr>
      </w:pPr>
      <w:r>
        <w:rPr>
          <w:rFonts w:hint="eastAsia" w:ascii="楷体" w:hAnsi="楷体" w:eastAsia="楷体" w:cs="楷体"/>
          <w:b w:val="0"/>
          <w:bCs w:val="0"/>
          <w:sz w:val="28"/>
          <w:szCs w:val="28"/>
        </w:rPr>
        <w:t>4.逾期申报债权的后果</w:t>
      </w:r>
    </w:p>
    <w:p w14:paraId="1790988F">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4.1 未在债权申报期限内申报债权的，可以在破产财产最后分配</w:t>
      </w:r>
    </w:p>
    <w:p w14:paraId="4C4CA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前补充申报，但是，此前已进行的分配，不再对其补充分配。</w:t>
      </w:r>
    </w:p>
    <w:p w14:paraId="4C7E934A">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4.2</w:t>
      </w: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为审查和确认补充申报债权的费用，由补充申报人在补充申报时向管理人交纳。</w:t>
      </w:r>
    </w:p>
    <w:p w14:paraId="74BBEB7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楷体" w:hAnsi="楷体" w:eastAsia="楷体" w:cs="楷体"/>
          <w:b w:val="0"/>
          <w:bCs w:val="0"/>
          <w:sz w:val="28"/>
          <w:szCs w:val="28"/>
        </w:rPr>
      </w:pPr>
      <w:r>
        <w:rPr>
          <w:rFonts w:hint="eastAsia" w:ascii="楷体" w:hAnsi="楷体" w:eastAsia="楷体" w:cs="楷体"/>
          <w:b w:val="0"/>
          <w:bCs w:val="0"/>
          <w:sz w:val="28"/>
          <w:szCs w:val="28"/>
        </w:rPr>
        <w:t>5</w:t>
      </w:r>
      <w:r>
        <w:rPr>
          <w:rFonts w:hint="eastAsia" w:ascii="楷体" w:hAnsi="楷体" w:eastAsia="楷体" w:cs="楷体"/>
          <w:b w:val="0"/>
          <w:bCs w:val="0"/>
          <w:sz w:val="28"/>
          <w:szCs w:val="28"/>
          <w:lang w:val="en-US" w:eastAsia="zh-CN"/>
        </w:rPr>
        <w:t>.</w:t>
      </w:r>
      <w:r>
        <w:rPr>
          <w:rFonts w:hint="eastAsia" w:ascii="楷体" w:hAnsi="楷体" w:eastAsia="楷体" w:cs="楷体"/>
          <w:b w:val="0"/>
          <w:bCs w:val="0"/>
          <w:sz w:val="28"/>
          <w:szCs w:val="28"/>
        </w:rPr>
        <w:t>特别提示</w:t>
      </w:r>
    </w:p>
    <w:p w14:paraId="438D5E3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5.1 债权人应考虑必要时在法律专业人士的协助下申报债权和/或寻求法律帮助。</w:t>
      </w:r>
    </w:p>
    <w:p w14:paraId="29B955B0">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5.2 债权人虚假申报债权或提供虚假申报材料，损害其他债权人利益的，管理人将依法移送公安机关或人民法院追究其法律责任。</w:t>
      </w:r>
    </w:p>
    <w:p w14:paraId="0F21F86A">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5.3 管理人通知并提供申报债权文本行为仅为方便申报债权，管理人接收债权申报材料的行为是依法审查申报债权的前提，并不代表管理人对相关债权及申报材料的真实性、合法性、关联性的认可。申报债权的账期超过诉讼时效，债权人应提供诉讼时效中断的证据，否则将不予登记。管理人对债权申报表及证据的接收，不构成诉讼时效超期的恢复。</w:t>
      </w:r>
    </w:p>
    <w:p w14:paraId="666AD153">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default" w:ascii="宋体" w:hAnsi="宋体" w:eastAsia="宋体" w:cs="宋体"/>
          <w:sz w:val="28"/>
          <w:szCs w:val="28"/>
          <w:lang w:val="en-US" w:eastAsia="zh-CN"/>
        </w:rPr>
      </w:pPr>
      <w:r>
        <w:rPr>
          <w:rFonts w:hint="eastAsia" w:ascii="方正仿宋_GB2312" w:hAnsi="方正仿宋_GB2312" w:eastAsia="方正仿宋_GB2312" w:cs="方正仿宋_GB2312"/>
          <w:sz w:val="28"/>
          <w:szCs w:val="28"/>
          <w:lang w:val="en-US" w:eastAsia="zh-CN"/>
        </w:rPr>
        <w:t>5.4 “优破案”系统内的债权申报材料模板中与管理人公告债权申报材料不一致的内容，以管理人公告的债权申报材料为准。再次提示：管理人不接收原件，原件务必自行保留保管。</w:t>
      </w:r>
    </w:p>
    <w:p w14:paraId="7257E36F">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sz w:val="28"/>
          <w:szCs w:val="28"/>
        </w:rPr>
      </w:pPr>
    </w:p>
    <w:p w14:paraId="339E3AF4">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sz w:val="28"/>
          <w:szCs w:val="28"/>
        </w:rPr>
      </w:pPr>
    </w:p>
    <w:p w14:paraId="074FA094">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0" w:firstLineChars="0"/>
        <w:jc w:val="center"/>
        <w:textAlignment w:val="baseline"/>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申报人声明</w:t>
      </w:r>
    </w:p>
    <w:p w14:paraId="241E1AF0">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本人/单位已认真、仔细阅读《债权申报须知》，对其意思表示已清楚明白。因违反上述须知内容造成的不利后果，由本人/单位承担。特此声明。</w:t>
      </w:r>
    </w:p>
    <w:p w14:paraId="554CB43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方正仿宋_GB2312" w:hAnsi="方正仿宋_GB2312" w:eastAsia="方正仿宋_GB2312" w:cs="方正仿宋_GB2312"/>
          <w:sz w:val="28"/>
          <w:szCs w:val="28"/>
        </w:rPr>
      </w:pPr>
    </w:p>
    <w:p w14:paraId="098EC1ED">
      <w:pPr>
        <w:keepNext w:val="0"/>
        <w:keepLines w:val="0"/>
        <w:pageBreakBefore w:val="0"/>
        <w:widowControl/>
        <w:kinsoku w:val="0"/>
        <w:wordWrap/>
        <w:overflowPunct/>
        <w:topLinePunct w:val="0"/>
        <w:autoSpaceDE w:val="0"/>
        <w:autoSpaceDN w:val="0"/>
        <w:bidi w:val="0"/>
        <w:adjustRightInd w:val="0"/>
        <w:snapToGrid w:val="0"/>
        <w:spacing w:line="360" w:lineRule="auto"/>
        <w:ind w:firstLine="5040" w:firstLineChars="1800"/>
        <w:textAlignment w:val="baseline"/>
        <w:rPr>
          <w:rFonts w:hint="eastAsia" w:ascii="宋体" w:hAnsi="宋体" w:eastAsia="宋体" w:cs="宋体"/>
          <w:sz w:val="28"/>
          <w:szCs w:val="28"/>
        </w:rPr>
      </w:pPr>
      <w:r>
        <w:rPr>
          <w:rFonts w:hint="eastAsia" w:ascii="方正仿宋_GB2312" w:hAnsi="方正仿宋_GB2312" w:eastAsia="方正仿宋_GB2312" w:cs="方正仿宋_GB2312"/>
          <w:sz w:val="28"/>
          <w:szCs w:val="28"/>
        </w:rPr>
        <w:t>申报人（签章）：</w:t>
      </w:r>
    </w:p>
    <w:p w14:paraId="450EC525">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宋体" w:hAnsi="宋体" w:eastAsia="宋体" w:cs="宋体"/>
          <w:sz w:val="28"/>
          <w:szCs w:val="28"/>
        </w:rPr>
      </w:pPr>
    </w:p>
    <w:sectPr>
      <w:headerReference r:id="rId5" w:type="default"/>
      <w:footerReference r:id="rId6" w:type="default"/>
      <w:pgSz w:w="11906" w:h="16839"/>
      <w:pgMar w:top="1440" w:right="1800" w:bottom="1440" w:left="180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4141EDB-65CE-4AF0-91D1-569AF2AA7E7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0923FBA-8EC8-4A17-95A2-12081CC0F0C7}"/>
  </w:font>
  <w:font w:name="方正小标宋简体">
    <w:panose1 w:val="02000000000000000000"/>
    <w:charset w:val="86"/>
    <w:family w:val="auto"/>
    <w:pitch w:val="default"/>
    <w:sig w:usb0="00000001" w:usb1="08000000" w:usb2="00000000" w:usb3="00000000" w:csb0="00040000" w:csb1="00000000"/>
    <w:embedRegular r:id="rId3" w:fontKey="{A9A69E21-5098-4888-B512-810704EF0A19}"/>
  </w:font>
  <w:font w:name="方正仿宋_GB2312">
    <w:panose1 w:val="02000000000000000000"/>
    <w:charset w:val="86"/>
    <w:family w:val="auto"/>
    <w:pitch w:val="default"/>
    <w:sig w:usb0="A00002BF" w:usb1="184F6CFA" w:usb2="00000012" w:usb3="00000000" w:csb0="00040001" w:csb1="00000000"/>
    <w:embedRegular r:id="rId4" w:fontKey="{0D5F167C-AF55-4CA3-9940-7884A31E7A57}"/>
  </w:font>
  <w:font w:name="楷体">
    <w:panose1 w:val="02010609060101010101"/>
    <w:charset w:val="86"/>
    <w:family w:val="auto"/>
    <w:pitch w:val="default"/>
    <w:sig w:usb0="800002BF" w:usb1="38CF7CFA" w:usb2="00000016" w:usb3="00000000" w:csb0="00040001" w:csb1="00000000"/>
    <w:embedRegular r:id="rId5" w:fontKey="{6FF8624C-9FE3-4FAE-A379-A0422ADF314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444B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9746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lNzI1NjUyNDZmMDhkYmUzNTM0ODhmYjdiMmE4YjcifQ=="/>
  </w:docVars>
  <w:rsids>
    <w:rsidRoot w:val="6CDA542A"/>
    <w:rsid w:val="00574D3F"/>
    <w:rsid w:val="0D2766C4"/>
    <w:rsid w:val="21CF733C"/>
    <w:rsid w:val="283E3FE7"/>
    <w:rsid w:val="326170B4"/>
    <w:rsid w:val="328E79D1"/>
    <w:rsid w:val="3789162B"/>
    <w:rsid w:val="50290E8D"/>
    <w:rsid w:val="51513896"/>
    <w:rsid w:val="6CDA542A"/>
    <w:rsid w:val="734438BD"/>
    <w:rsid w:val="7AF12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rPr>
      <w:rFonts w:ascii="Times New Roman" w:hAnsi="Times New Roman" w:eastAsia="宋体"/>
      <w:sz w:val="30"/>
    </w:rPr>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config/>
</contractReview>
</file>

<file path=customXml/itemProps1.xml><?xml version="1.0" encoding="utf-8"?>
<ds:datastoreItem xmlns:ds="http://schemas.openxmlformats.org/officeDocument/2006/customXml" ds:itemID="{416d5c91-cc65-4466-b547-298970b02fbf}">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1868</Words>
  <Characters>1931</Characters>
  <Lines>0</Lines>
  <Paragraphs>0</Paragraphs>
  <TotalTime>17</TotalTime>
  <ScaleCrop>false</ScaleCrop>
  <LinksUpToDate>false</LinksUpToDate>
  <CharactersWithSpaces>1958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2024-11-25T06:15:00Z</dcterms:created>
  <dc:creator>兵</dc:creator>
  <cp:lastModifiedBy>泡泡</cp:lastModifiedBy>
  <dcterms:modified xsi:type="dcterms:W3CDTF">2026-04-02T07:04:58Z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807D6EB51DAA41FC838324306E454BDD_13</vt:lpwstr>
  </property>
  <property fmtid="{D5CDD505-2E9C-101B-9397-08002B2CF9AE}" pid="4" name="KSOTemplateDocerSaveRecord">
    <vt:lpwstr>eyJoZGlkIjoiMzEwNTM5NzYwMDRjMzkwZTVkZjY2ODkwMGIxNGU0OTUiLCJ1c2VySWQiOiIyMzc0ODMwODAifQ==</vt:lpwstr>
  </property>
</Properties>
</file>