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BBB044">
      <w:pPr>
        <w:jc w:val="center"/>
        <w:rPr>
          <w:rFonts w:hint="eastAsia" w:ascii="黑体" w:hAnsi="黑体" w:eastAsia="黑体" w:cs="黑体"/>
          <w:b/>
          <w:bCs/>
          <w:color w:val="auto"/>
          <w:sz w:val="36"/>
          <w:szCs w:val="36"/>
          <w:highlight w:val="none"/>
          <w:lang w:val="en-US" w:eastAsia="zh-CN"/>
        </w:rPr>
      </w:pPr>
      <w:bookmarkStart w:id="0" w:name="_GoBack"/>
      <w:bookmarkEnd w:id="0"/>
      <w:r>
        <w:rPr>
          <w:rFonts w:hint="eastAsia" w:ascii="黑体" w:hAnsi="黑体" w:eastAsia="黑体" w:cs="黑体"/>
          <w:b/>
          <w:bCs/>
          <w:color w:val="auto"/>
          <w:sz w:val="36"/>
          <w:szCs w:val="36"/>
          <w:highlight w:val="none"/>
          <w:lang w:val="en-US" w:eastAsia="zh-CN"/>
        </w:rPr>
        <w:t>曹县盛泰置业有限公司、曹县德泰置业有限公司、</w:t>
      </w:r>
    </w:p>
    <w:p w14:paraId="6B973E77">
      <w:pPr>
        <w:jc w:val="center"/>
        <w:rPr>
          <w:rFonts w:hint="eastAsia" w:ascii="黑体" w:hAnsi="黑体" w:eastAsia="黑体" w:cs="黑体"/>
          <w:b/>
          <w:bCs/>
          <w:color w:val="auto"/>
          <w:sz w:val="36"/>
          <w:szCs w:val="36"/>
          <w:highlight w:val="none"/>
          <w:lang w:val="en-US" w:eastAsia="zh-CN"/>
        </w:rPr>
      </w:pPr>
      <w:r>
        <w:rPr>
          <w:rFonts w:hint="eastAsia" w:ascii="黑体" w:hAnsi="黑体" w:eastAsia="黑体" w:cs="黑体"/>
          <w:b/>
          <w:bCs/>
          <w:color w:val="auto"/>
          <w:sz w:val="36"/>
          <w:szCs w:val="36"/>
          <w:highlight w:val="none"/>
          <w:lang w:val="en-US" w:eastAsia="zh-CN"/>
        </w:rPr>
        <w:t>曹县义乌小商品批发市场有限公司合并破产清算</w:t>
      </w:r>
    </w:p>
    <w:p w14:paraId="175ADC4E">
      <w:pPr>
        <w:jc w:val="center"/>
        <w:rPr>
          <w:rFonts w:hint="eastAsia" w:ascii="黑体" w:hAnsi="黑体" w:eastAsia="黑体" w:cs="黑体"/>
          <w:b/>
          <w:bCs/>
          <w:color w:val="auto"/>
          <w:sz w:val="36"/>
          <w:szCs w:val="36"/>
          <w:highlight w:val="none"/>
          <w:lang w:val="en-US" w:eastAsia="zh-CN"/>
        </w:rPr>
      </w:pPr>
      <w:r>
        <w:rPr>
          <w:rFonts w:hint="eastAsia" w:ascii="黑体" w:hAnsi="黑体" w:eastAsia="黑体" w:cs="黑体"/>
          <w:b/>
          <w:bCs/>
          <w:color w:val="auto"/>
          <w:sz w:val="36"/>
          <w:szCs w:val="36"/>
          <w:highlight w:val="none"/>
          <w:lang w:val="en-US" w:eastAsia="zh-CN"/>
        </w:rPr>
        <w:t>破产财产（存货与固定资产）</w:t>
      </w:r>
    </w:p>
    <w:p w14:paraId="77BF7B2C">
      <w:pPr>
        <w:jc w:val="center"/>
        <w:rPr>
          <w:rFonts w:hint="eastAsia" w:ascii="黑体" w:hAnsi="黑体" w:eastAsia="黑体" w:cs="黑体"/>
          <w:b/>
          <w:bCs/>
          <w:color w:val="auto"/>
          <w:sz w:val="28"/>
          <w:szCs w:val="28"/>
          <w:highlight w:val="none"/>
          <w:lang w:val="en-US" w:eastAsia="zh-CN"/>
        </w:rPr>
      </w:pPr>
      <w:r>
        <w:rPr>
          <w:rFonts w:hint="eastAsia" w:ascii="黑体" w:hAnsi="黑体" w:eastAsia="黑体" w:cs="黑体"/>
          <w:b/>
          <w:bCs/>
          <w:color w:val="auto"/>
          <w:sz w:val="36"/>
          <w:szCs w:val="36"/>
          <w:highlight w:val="none"/>
          <w:lang w:val="en-US" w:eastAsia="zh-CN"/>
        </w:rPr>
        <w:t>第四次拍卖（竞买）须知</w:t>
      </w:r>
    </w:p>
    <w:p w14:paraId="17AAC1F9">
      <w:pPr>
        <w:jc w:val="center"/>
        <w:rPr>
          <w:rFonts w:hint="eastAsia" w:ascii="宋体" w:hAnsi="宋体" w:eastAsia="宋体" w:cs="宋体"/>
          <w:b/>
          <w:bCs/>
          <w:color w:val="auto"/>
          <w:sz w:val="28"/>
          <w:szCs w:val="28"/>
          <w:highlight w:val="none"/>
          <w:lang w:val="en-US" w:eastAsia="zh-CN"/>
        </w:rPr>
      </w:pPr>
    </w:p>
    <w:p w14:paraId="170B4F49">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曹县盛泰置业有限公司、曹县德泰置业有限公司、曹县义乌小商品批发市场有限公司（以下合称“三公司”）管理人将于2026年6月5日9时至2026年6月8日17时止（延时除外）在京东拍卖破产强清平台（处置单位：曹县盛泰置业有限公司、曹县德泰置业有限公司、曹县义乌小商品批发市场有限公司，监督单位：曹县人民法院，网址：https://auction.jd.com/bankrupt.html）进行公开拍卖活动，现就网上拍卖有关事宜敬告各位竞买人：</w:t>
      </w:r>
    </w:p>
    <w:p w14:paraId="37AA5A89">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一、本《竞买须知》根据</w:t>
      </w:r>
      <w:r>
        <w:rPr>
          <w:rFonts w:hint="eastAsia" w:ascii="仿宋" w:hAnsi="仿宋" w:eastAsia="仿宋" w:cs="仿宋"/>
          <w:color w:val="auto"/>
          <w:sz w:val="28"/>
          <w:szCs w:val="28"/>
          <w:highlight w:val="none"/>
          <w:lang w:val="en-US" w:eastAsia="zh-CN"/>
        </w:rPr>
        <w:t>民法典、民事诉讼法</w:t>
      </w:r>
      <w:r>
        <w:rPr>
          <w:rFonts w:hint="eastAsia" w:ascii="仿宋" w:hAnsi="仿宋" w:eastAsia="仿宋" w:cs="仿宋"/>
          <w:color w:val="auto"/>
          <w:sz w:val="28"/>
          <w:szCs w:val="28"/>
          <w:highlight w:val="none"/>
        </w:rPr>
        <w:t>等相关法律规定所制订，竞买人应认真仔细阅读，了解本须知的全部内容。</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 xml:space="preserve">    二、本次竞价活动遵循“公开、公平、公正、诚实守信”的原则，竞价活动具备法律效力。参加本次竞价活动的当事人和竞买人必须遵守本须知的各项条款，并对自己的行为承担法律责任。</w:t>
      </w:r>
    </w:p>
    <w:p w14:paraId="6FA7737A">
      <w:pPr>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三、拍卖标的：</w:t>
      </w:r>
    </w:p>
    <w:p w14:paraId="24BAF07E">
      <w:pPr>
        <w:pStyle w:val="4"/>
        <w:shd w:val="clear" w:color="auto" w:fill="FFFFFF"/>
        <w:spacing w:before="0" w:beforeAutospacing="0" w:after="0" w:afterAutospacing="0" w:line="450" w:lineRule="atLeas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1、曹县盛泰置业有限公司、曹县德泰置业有限公司、曹县义乌小商品批发市场有限公司（以下合称“三公司”）国有土地使用权、地上在建工程与固定资产一宗。具体为：</w:t>
      </w:r>
    </w:p>
    <w:p w14:paraId="0F84C063">
      <w:pPr>
        <w:pStyle w:val="4"/>
        <w:shd w:val="clear" w:color="auto" w:fill="FFFFFF"/>
        <w:spacing w:before="0" w:beforeAutospacing="0" w:after="0" w:afterAutospacing="0" w:line="450" w:lineRule="atLeas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（1）土地使用权证号为曹国用（2015）第001号（仅有复印件），位于迎宾大道北侧，站前路东侧，用途为商业，面积为67613平方米，使用权终止日期为2054年12月16日</w:t>
      </w:r>
      <w:r>
        <w:rPr>
          <w:rFonts w:hint="eastAsia" w:ascii="仿宋" w:hAnsi="仿宋" w:eastAsia="仿宋" w:cs="仿宋"/>
          <w:color w:val="auto"/>
          <w:sz w:val="28"/>
          <w:szCs w:val="28"/>
          <w:highlight w:val="none"/>
          <w:lang w:eastAsia="zh-CN"/>
        </w:rPr>
        <w:t>。</w:t>
      </w:r>
    </w:p>
    <w:p w14:paraId="074B4C79">
      <w:pPr>
        <w:pStyle w:val="4"/>
        <w:shd w:val="clear" w:color="auto" w:fill="FFFFFF"/>
        <w:spacing w:before="0" w:beforeAutospacing="0" w:after="0" w:afterAutospacing="0" w:line="450" w:lineRule="atLeas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（2）在建工程为三公司在前述土地之上开发建设的曹县义乌小商品城批发市场（未完工）。根据曹县住房和城乡建设局核发的 371721201500002 号建设工程规划许可证（复印件），曹县义乌小商品批发市场规划建设规模为128471 ㎡，地下 4200 ㎡，其中规划：A 区商务办公楼框剪 24 层1 栋，中心市场框架 3 层 1 栋，市场办公楼框剪 9 层局部 7 层 1栋，A 区规划地上建筑面积约 94600 ㎡，地下建筑面积约 4200㎡；B 区商铺贸易区规划框架 3 层 12 栋，框架 4 层 5 栋，地上规划建筑面积约为 33871 ㎡。根据评估报告以及实际踏勘调查，在建工程建设情况为（涉及有关数字的均为概估）：A 区中心市场共 3 层，目前一次性结构主体已基本完工，建筑面积约 45000 ㎡；商务办公楼目前一次性结构主体已施工至地上二层，完成建筑面积约 1900 ㎡；市场办公楼目前一次性结构主体已施工至地上一层，完成建筑面积约 2600 ㎡；地下 1 层建筑面积约 3900 ㎡，一次性结构主体已基本完工。B 区已建设多层商铺共 26 栋，总建筑面积约 51000 ㎡，其中框架 3 层的 18 栋，框架 4 层的 8 栋，目前 26 栋一次性结构主体已完工封顶，部分二次结构已施工，个别几栋内外粉刷、外立面窗、消防安装等工程已施工。根据现有资料并参考土地四至以及卫星地图，B 区有 9 栋楼可能无建设工程规划许可手续，具体请竞买人自行尽调了解。具体楼号政府批文存在矛盾存疑。除上述 AB 区地上建筑物外，在 A 区西南侧建成有售楼处一座，建筑面积 606.50 ㎡，钢结构，局部二层。未发现该售楼处的规划许可手续，可能属临时建筑性质。上述在建工程的面积以及状态等均以实际现状为准</w:t>
      </w:r>
      <w:r>
        <w:rPr>
          <w:rFonts w:hint="eastAsia" w:ascii="仿宋" w:hAnsi="仿宋" w:eastAsia="仿宋" w:cs="仿宋"/>
          <w:color w:val="auto"/>
          <w:sz w:val="28"/>
          <w:szCs w:val="28"/>
          <w:highlight w:val="none"/>
          <w:lang w:eastAsia="zh-CN"/>
        </w:rPr>
        <w:t>。</w:t>
      </w:r>
    </w:p>
    <w:p w14:paraId="50C46627">
      <w:pPr>
        <w:pStyle w:val="4"/>
        <w:shd w:val="clear" w:color="auto" w:fill="FFFFFF"/>
        <w:spacing w:before="0" w:beforeAutospacing="0" w:after="0" w:afterAutospacing="0" w:line="450" w:lineRule="atLeas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（3）固定资产：包括电子设备类空调、电脑（不包括电脑硬盘）、打印机、办公家具等，以及报废金杯车辆一辆。固定资产绝大部分存放于售楼处内。</w:t>
      </w:r>
    </w:p>
    <w:p w14:paraId="371215CE">
      <w:pPr>
        <w:pStyle w:val="4"/>
        <w:shd w:val="clear" w:color="auto" w:fill="FFFFFF"/>
        <w:spacing w:before="0" w:beforeAutospacing="0" w:after="0" w:afterAutospacing="0" w:line="450" w:lineRule="atLeas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竞买人可阅读附件：《曹县盛泰置业有限公司、曹县德泰置业有限公司、曹县义乌小商品批发市场有限公司合并破产清算涉及的破产财产清算价值资产评估报告》[编号：中恒鲁评报字（2024）第064号]以及后附评估明细表；土地证复印件；建设工程规划许可证复印件；现场照片；现场全景VR资料。</w:t>
      </w:r>
    </w:p>
    <w:p w14:paraId="53EB0D4E">
      <w:pPr>
        <w:pStyle w:val="4"/>
        <w:shd w:val="clear" w:color="auto" w:fill="FFFFFF"/>
        <w:spacing w:before="0" w:beforeAutospacing="0" w:after="0" w:afterAutospacing="0" w:line="450" w:lineRule="atLeast"/>
        <w:ind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上述描述和附件文件仅为对拍品概况的初步介绍，具体情况包括但不限于数量、质量、产权情况、物理性质、法律性质等等均以现状为准，竞买人应当自行尽职调查并立足于自行尽调的结论做出竞买与否、出价金额的判断，并自行承担全部法律后果。请竞买人充分予以注意。</w:t>
      </w:r>
    </w:p>
    <w:p w14:paraId="0DBA6958">
      <w:pPr>
        <w:pStyle w:val="4"/>
        <w:shd w:val="clear" w:color="auto" w:fill="FFFFFF"/>
        <w:spacing w:before="0" w:beforeAutospacing="0" w:after="0" w:afterAutospacing="0" w:line="450" w:lineRule="atLeas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项目土地北侧建有C区，初查系政府安置回迁项目，目前不属于三公司破产财产，不在本次拍卖之列。</w:t>
      </w:r>
    </w:p>
    <w:p w14:paraId="4AE52946">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2、起拍价：壹亿伍仟捌佰万元（小写：158,000,000.00元），保证金：1580万元，增价幅度：10万元及其整数倍。</w:t>
      </w:r>
    </w:p>
    <w:p w14:paraId="2E4C0819">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3、重要提示:</w:t>
      </w:r>
    </w:p>
    <w:p w14:paraId="6B991562">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竞买人应当具备完全民事行为能力，法律、行政法规和司法解释对买受人资格或者条件有特殊规定的，竞买人应当具备规定的资格或者条件。管理人提示竞买人应当重视对竞买资格的尽调研判，防止出现竞买后无法过户、无法移交、无法处分使用收益、无法开发建设经营的不利后果。竞买人对其竞买资格自行承担一切责任。</w:t>
      </w:r>
    </w:p>
    <w:p w14:paraId="56E17FE0">
      <w:pPr>
        <w:ind w:firstLine="560" w:firstLineChars="200"/>
        <w:rPr>
          <w:rFonts w:hint="eastAsia" w:ascii="仿宋" w:hAnsi="仿宋" w:eastAsia="仿宋" w:cs="仿宋"/>
          <w:b/>
          <w:bCs/>
          <w:color w:val="auto"/>
          <w:sz w:val="28"/>
          <w:szCs w:val="28"/>
          <w:highlight w:val="none"/>
        </w:rPr>
      </w:pPr>
      <w:r>
        <w:rPr>
          <w:rFonts w:hint="eastAsia" w:ascii="仿宋" w:hAnsi="仿宋" w:eastAsia="仿宋" w:cs="仿宋"/>
          <w:color w:val="auto"/>
          <w:sz w:val="28"/>
          <w:szCs w:val="28"/>
          <w:highlight w:val="none"/>
        </w:rPr>
        <w:t>（2）本次拍卖标的已停工多年，普遍存在损耗损坏等情况，拍卖标的较为复杂，拍卖标的均以其现状为准，管理人不承担拍卖资产的任何瑕疵保证责任，包括但不限于建筑物外观、建筑物主体结构、建筑质量、结构调整、装修损坏、消防设施缺少损坏、房地产面积差异、私搭乱建、私自占用、在建工程无施工规划手续、在建工程违法建设、固定资产故障无法使用、车辆报废无法使用等问题，由此产生的问题也不影响拍卖成交结果及成交价格，竞买人应对拍卖标的的产权登记状况、实际状况以及瑕疵（含显性、隐性瑕疵）等自行调查核实、自行承担投资风险。</w:t>
      </w:r>
      <w:r>
        <w:rPr>
          <w:rFonts w:hint="eastAsia" w:ascii="仿宋" w:hAnsi="仿宋" w:eastAsia="仿宋" w:cs="仿宋"/>
          <w:b/>
          <w:bCs/>
          <w:color w:val="auto"/>
          <w:sz w:val="28"/>
          <w:szCs w:val="28"/>
          <w:highlight w:val="none"/>
        </w:rPr>
        <w:t>参照最高人民法院有关司法解释规定，拍卖财产以实物现状为准，竞买人可以申请实地看样；竞买人决定参与竞买的，视为对拍卖财产完全了解，并接受拍卖财产一切已知和未知瑕疵；竞买人决定参与竞买的，视为对标的物及相关实物现状的确认和接受，责任自负</w:t>
      </w:r>
      <w:r>
        <w:rPr>
          <w:rFonts w:hint="eastAsia" w:ascii="仿宋" w:hAnsi="仿宋" w:eastAsia="仿宋" w:cs="仿宋"/>
          <w:b/>
          <w:bCs/>
          <w:color w:val="auto"/>
          <w:sz w:val="28"/>
          <w:szCs w:val="28"/>
          <w:highlight w:val="none"/>
          <w:lang w:eastAsia="zh-CN"/>
        </w:rPr>
        <w:t>。</w:t>
      </w:r>
    </w:p>
    <w:p w14:paraId="5DB37736">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）评估报告、明细表、现场照片、全景VR等资料仅供参考阅读，不视为管理人、评估机构等对拍卖标的的价值、产权状况、现状等提供任何担保和瑕疵担保责任</w:t>
      </w:r>
      <w:r>
        <w:rPr>
          <w:rFonts w:hint="eastAsia" w:ascii="仿宋" w:hAnsi="仿宋" w:eastAsia="仿宋" w:cs="仿宋"/>
          <w:color w:val="auto"/>
          <w:sz w:val="28"/>
          <w:szCs w:val="28"/>
          <w:highlight w:val="none"/>
          <w:lang w:eastAsia="zh-CN"/>
        </w:rPr>
        <w:t>。</w:t>
      </w:r>
    </w:p>
    <w:p w14:paraId="31DD5FA9">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目前场地存在占用情况，尚未有占用人向管理人提供合法占用的协议或文件。因存在占用，建筑物内外装修和扩建、添附情况不清，场地内存在部分占用人私建地上物等。拍卖标的的清场以及腾房事宜均由买受人自行承担，买受人自行处理与占用人的一切争议包括但不限于腾房、清场、装修以及扩建、添附物品产权争议、补偿等等。买受人需自行处理与周边相关主体的相邻权争议。</w:t>
      </w:r>
    </w:p>
    <w:p w14:paraId="11B3EA56">
      <w:pPr>
        <w:ind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（5）因三公司资料文件缺失严重，部分重要文件下落不明，目前管理人未持有土地证原件以及未持有完整的土地、在建工程相关产权、规划、设计文件，未持有固定资产的发票、合同等基础资料。</w:t>
      </w:r>
      <w:r>
        <w:rPr>
          <w:rFonts w:hint="eastAsia" w:ascii="仿宋" w:hAnsi="仿宋" w:eastAsia="仿宋" w:cs="仿宋"/>
          <w:color w:val="auto"/>
          <w:sz w:val="28"/>
          <w:szCs w:val="28"/>
          <w:highlight w:val="none"/>
          <w:lang w:val="en-US" w:eastAsia="zh-CN"/>
        </w:rPr>
        <w:t>本次拍卖附件中有关土地证、规划许可等文件仅供参考，管理人、拍卖机构对其真实性、完整性不作任何保证，竞买人应自行尽调核实。</w:t>
      </w:r>
    </w:p>
    <w:p w14:paraId="0E4CE513">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固定资产中的金杯车辆外观、内饰等已严重损坏，脱审多年，无法行驶已达到报废状态，存在无法过户的风险。电子设备类空调、电脑、打印机、办公家具等存在损坏、无法正常开机、无法正常使用等情况。</w:t>
      </w:r>
    </w:p>
    <w:p w14:paraId="70A2CBED">
      <w:pPr>
        <w:ind w:firstLine="562" w:firstLineChars="200"/>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eastAsia="zh-CN"/>
        </w:rPr>
        <w:t>7</w:t>
      </w:r>
      <w:r>
        <w:rPr>
          <w:rFonts w:hint="eastAsia" w:ascii="仿宋" w:hAnsi="仿宋" w:eastAsia="仿宋" w:cs="仿宋"/>
          <w:b/>
          <w:bCs/>
          <w:color w:val="auto"/>
          <w:sz w:val="28"/>
          <w:szCs w:val="28"/>
          <w:highlight w:val="none"/>
        </w:rPr>
        <w:t>）拍卖标的系烂尾楼，年久失修，存在各类安全隐患（包括但不限于坠落、坍塌、倾倒、穿刺、漏电、溺水、动物损害等），竞买人自行看样时应委派专业人员、至少两人以上并务必做好各类安全措施，严格确保自身安全，并不得给拍卖标的、周围环境和人员造成财产损失、安全风险和危害。买受人在接管拍卖标的时或使用前，应自行做好或委托专业机构做好充分的安全风险评估和安全隐患排查，严防各类事故。竞买人、买受人发生的任何事故包括担保不限于安全或生产事故等均与管理人、拍卖机构无关。对此请竞买人、买受人予以充分注意。</w:t>
      </w:r>
    </w:p>
    <w:p w14:paraId="057FF31B">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以上提示，请竞买人注意，如有疑问可详询管理人。</w:t>
      </w:r>
    </w:p>
    <w:p w14:paraId="2E3AE37B">
      <w:pPr>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四、竞买人条件：</w:t>
      </w:r>
    </w:p>
    <w:p w14:paraId="6B260663">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w:t>
      </w:r>
      <w:r>
        <w:rPr>
          <w:rFonts w:hint="eastAsia" w:ascii="仿宋" w:hAnsi="仿宋" w:eastAsia="仿宋" w:cs="仿宋"/>
          <w:color w:val="auto"/>
          <w:sz w:val="28"/>
          <w:szCs w:val="28"/>
          <w:highlight w:val="none"/>
          <w:lang w:val="en-US" w:eastAsia="zh-CN"/>
        </w:rPr>
        <w:t>竞买人应当具备完全民事行为能力，法律、行政法规和司法解释对买受人资格或者条件有特殊规定的，竞买人应当具备规定的资格或者条件。管理人提示竞买人应当重视对竞买资格的尽调研判，防止出现竞买后无法过户、无法移交、无法处分使用收益、无法开发建设经营的不利后果。竞买人对其竞买资格自行承担一切责任。</w:t>
      </w:r>
      <w:r>
        <w:rPr>
          <w:rFonts w:hint="eastAsia" w:ascii="仿宋" w:hAnsi="仿宋" w:eastAsia="仿宋" w:cs="仿宋"/>
          <w:color w:val="auto"/>
          <w:sz w:val="28"/>
          <w:szCs w:val="28"/>
          <w:highlight w:val="none"/>
        </w:rPr>
        <w:t xml:space="preserve">     </w:t>
      </w:r>
    </w:p>
    <w:p w14:paraId="1577A893">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竞价前，竞买人须在京东注册账号并通过实名认证（已注册京东账号需通过实名认证）。如参与竞买人未在京东拍卖开设账户，可委托代理人（具备完全民事行为能力的自然人）进行，但须在竞买开始前一同到管理人处办理委托手续；竞买成功后，买受人（委托人）（法定代表人、其他组织的负责人）须与委托代理人一同到管理人处办理交接手续。如委托手续不全，竞买活动认定为委托代理人的个人行为。</w:t>
      </w:r>
    </w:p>
    <w:p w14:paraId="2654AF42">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（三）法律、行政法规和司法解释对本标的物买受人资格或者条件有特殊规定的，买受人应当具备规定的资格或条件。</w:t>
      </w:r>
      <w:r>
        <w:rPr>
          <w:rFonts w:hint="eastAsia" w:ascii="仿宋" w:hAnsi="仿宋" w:eastAsia="仿宋" w:cs="仿宋"/>
          <w:color w:val="auto"/>
          <w:kern w:val="0"/>
          <w:sz w:val="28"/>
          <w:szCs w:val="28"/>
          <w:highlight w:val="none"/>
        </w:rPr>
        <w:br w:type="textWrapping"/>
      </w:r>
      <w:r>
        <w:rPr>
          <w:rFonts w:hint="eastAsia" w:ascii="仿宋" w:hAnsi="仿宋" w:eastAsia="仿宋" w:cs="仿宋"/>
          <w:color w:val="auto"/>
          <w:kern w:val="0"/>
          <w:sz w:val="28"/>
          <w:szCs w:val="28"/>
          <w:highlight w:val="none"/>
        </w:rPr>
        <w:t xml:space="preserve">    （四）因不符合条件参加竞买的，由竞买人自行承担相应的法律责任。</w:t>
      </w:r>
    </w:p>
    <w:p w14:paraId="22351FFD">
      <w:pPr>
        <w:widowControl/>
        <w:shd w:val="clear" w:color="auto" w:fill="FFFFFF"/>
        <w:spacing w:line="270" w:lineRule="atLeast"/>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五、竞价方式：</w:t>
      </w:r>
    </w:p>
    <w:p w14:paraId="144DC75D">
      <w:pPr>
        <w:widowControl/>
        <w:shd w:val="clear" w:color="auto" w:fill="FFFFFF"/>
        <w:spacing w:line="270" w:lineRule="atLeast"/>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竞价从起拍价开始以递增出价方式竞价，增价幅度由管理人确定。竞买人以低于起拍价出价的无效。本次竞价活动设置延时出价功能，在竞价活动结束前，每最后5分钟如果有竞买人出价，就自动延迟5分钟。</w:t>
      </w:r>
    </w:p>
    <w:p w14:paraId="27A1516E">
      <w:pPr>
        <w:widowControl/>
        <w:shd w:val="clear" w:color="auto" w:fill="FFFFFF"/>
        <w:spacing w:line="270" w:lineRule="atLeast"/>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六、优先购买人：</w:t>
      </w:r>
    </w:p>
    <w:p w14:paraId="04CE6AD9">
      <w:pPr>
        <w:widowControl/>
        <w:shd w:val="clear" w:color="auto" w:fill="FFFFFF"/>
        <w:spacing w:line="270" w:lineRule="atLeast"/>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本次竞价活动如若存在优先竞买人的，优先购买权人参与竞买的，可以与其他竞买人以相同的价格出价，没有更高出价的，竞价财产由优先购买权人竞得。顺序不同的优先购买权人以相同价格出价的，竞价财产由顺序在先的优先购买权人竞得。顺序相同的优先购买权人以相同价格出价的，竞价财产由出价在先的优先购买权人竞得。</w:t>
      </w:r>
      <w:r>
        <w:rPr>
          <w:rFonts w:hint="eastAsia" w:ascii="仿宋" w:hAnsi="仿宋" w:eastAsia="仿宋" w:cs="仿宋"/>
          <w:color w:val="auto"/>
          <w:kern w:val="0"/>
          <w:sz w:val="28"/>
          <w:szCs w:val="28"/>
          <w:highlight w:val="none"/>
        </w:rPr>
        <w:br w:type="textWrapping"/>
      </w:r>
      <w:r>
        <w:rPr>
          <w:rFonts w:hint="eastAsia" w:ascii="仿宋" w:hAnsi="仿宋" w:eastAsia="仿宋" w:cs="仿宋"/>
          <w:color w:val="auto"/>
          <w:kern w:val="0"/>
          <w:sz w:val="28"/>
          <w:szCs w:val="28"/>
          <w:highlight w:val="none"/>
        </w:rPr>
        <w:t xml:space="preserve">    七、保证金：</w:t>
      </w:r>
    </w:p>
    <w:p w14:paraId="6A214CDA">
      <w:pPr>
        <w:widowControl/>
        <w:shd w:val="clear" w:color="auto" w:fill="FFFFFF"/>
        <w:spacing w:line="270" w:lineRule="atLeast"/>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第一次出价前，意向竞买人须在京东注册账号并通过实名认证（已注册京东账号需通过实名认证），在线支付竞买保证金，支付后系统自动冻结该笔保证金，具体要求请阅读竞价页面内的《竞买须知》、《保证金须知》及京东网络竞价平台告知的竞价流程（竞价前必看）的相关准则。竞价成交的，本标的物竞得者（以下称买受人）冻结的保证金将自动转为部分成交款，由京东结算给管理人指定账户，其他竞买人的保证金在竞价后即时解冻。竞价结束后，未能竞得者的保证金以及竞价未成交的（即流拍的）竞买人的保证金在竞价活动结束后即时解冻，保证金冻结期间不计利息。</w:t>
      </w:r>
    </w:p>
    <w:p w14:paraId="5DCBB6E8">
      <w:pPr>
        <w:widowControl/>
        <w:shd w:val="clear" w:color="auto" w:fill="FFFFFF"/>
        <w:spacing w:line="270" w:lineRule="atLeast"/>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由于竞买人注册账户、实名认证、开通网银、竞买人的开户银行向京东转账均需时间，为确保交纳的保证金能够在竞价程序结束前到账，竞价标的保证金金额在1000万及以上的，或企业参与竞买的，建议请竞买人在开拍前，至少提前5个工作日办理报名及保证金交纳手续。如因竞买人未能及时完成报名及保证金交纳手续，导致京东在竞价结束前未能全额收到竞买人交纳的保证金，无法为竞买人开通竞买权限，所产生的一切后果由竞买人自行承担，上拍机构、管理人、京东平台均不就此承担任何责任。 </w:t>
      </w:r>
    </w:p>
    <w:p w14:paraId="0F760ED5">
      <w:pPr>
        <w:widowControl/>
        <w:shd w:val="clear" w:color="auto" w:fill="FFFFFF"/>
        <w:spacing w:line="270" w:lineRule="atLeast"/>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保证金金额往往数额较大，为避免在线支付的过程中，因银行限额而导致无法支付的问题，建议竞买人提前去相关银行办理提高网银支付限额的业务。如保证金金额超出竞买人开户银行制订的最高网银支付限额，建议采取更换网银支付限额更高的银行卡支付、多日分多笔支付、多张银行卡分多笔支付等方式交纳保证金。京东作为款项接收方，不对银行制订的网银最高支付限额造成的支付障碍承担任何责任。以下链接为各大银行对外公示的网银最高支付限额的整理页面，仅供参考，实际支付限额请咨询银行，以各银行告知为准。</w:t>
      </w:r>
    </w:p>
    <w:p w14:paraId="5702880E">
      <w:pPr>
        <w:widowControl/>
        <w:shd w:val="clear" w:color="auto" w:fill="FFFFFF"/>
        <w:spacing w:line="270" w:lineRule="atLeast"/>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银行支付限额：https://help.jd.com/user/issue/359-1659.html</w:t>
      </w:r>
    </w:p>
    <w:p w14:paraId="1E2A878D">
      <w:pPr>
        <w:widowControl/>
        <w:shd w:val="clear" w:color="auto" w:fill="FFFFFF"/>
        <w:spacing w:line="270" w:lineRule="atLeast"/>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个人/企业参拍流程：https://auction.jd.com/bankrupt.html</w:t>
      </w:r>
    </w:p>
    <w:p w14:paraId="3AC84BCF">
      <w:pPr>
        <w:widowControl/>
        <w:shd w:val="clear" w:color="auto" w:fill="FFFFFF"/>
        <w:spacing w:line="270" w:lineRule="atLeast"/>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在参拍、缴纳保证金过程中，如有疑问，请拨打京东拍卖服务热线：4006229586。</w:t>
      </w:r>
    </w:p>
    <w:p w14:paraId="771D65DE">
      <w:pPr>
        <w:widowControl/>
        <w:shd w:val="clear" w:color="auto" w:fill="FFFFFF"/>
        <w:spacing w:line="270" w:lineRule="atLeast"/>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八、余款交纳</w:t>
      </w:r>
    </w:p>
    <w:p w14:paraId="61DCF45D">
      <w:pPr>
        <w:widowControl/>
        <w:shd w:val="clear" w:color="auto" w:fill="FFFFFF"/>
        <w:spacing w:line="270" w:lineRule="atLeast"/>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竞价成交后，标的物竞得者原锁定的保证金自动转入管理人指定账户。买受人应于成交之时起</w:t>
      </w:r>
      <w:r>
        <w:rPr>
          <w:rFonts w:hint="eastAsia" w:ascii="仿宋" w:hAnsi="仿宋" w:eastAsia="仿宋" w:cs="仿宋"/>
          <w:color w:val="auto"/>
          <w:kern w:val="0"/>
          <w:sz w:val="28"/>
          <w:szCs w:val="28"/>
          <w:highlight w:val="none"/>
          <w:lang w:val="en-US" w:eastAsia="zh-CN"/>
        </w:rPr>
        <w:t>【15】日</w:t>
      </w:r>
      <w:r>
        <w:rPr>
          <w:rFonts w:hint="eastAsia" w:ascii="仿宋" w:hAnsi="仿宋" w:eastAsia="仿宋" w:cs="仿宋"/>
          <w:color w:val="auto"/>
          <w:kern w:val="0"/>
          <w:sz w:val="28"/>
          <w:szCs w:val="28"/>
          <w:highlight w:val="none"/>
        </w:rPr>
        <w:t>内将竞价成交价余款（扣除保证金后的余款）缴入管理人指定账户</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lang w:val="en-US" w:eastAsia="zh-CN"/>
        </w:rPr>
        <w:t>并</w:t>
      </w:r>
      <w:r>
        <w:rPr>
          <w:rFonts w:hint="eastAsia" w:ascii="仿宋" w:hAnsi="仿宋" w:eastAsia="仿宋" w:cs="仿宋"/>
          <w:color w:val="auto"/>
          <w:kern w:val="0"/>
          <w:sz w:val="28"/>
          <w:szCs w:val="28"/>
          <w:highlight w:val="none"/>
        </w:rPr>
        <w:t>注明“破产案号：（20</w:t>
      </w:r>
      <w:r>
        <w:rPr>
          <w:rFonts w:hint="eastAsia" w:ascii="仿宋" w:hAnsi="仿宋" w:eastAsia="仿宋" w:cs="仿宋"/>
          <w:color w:val="auto"/>
          <w:kern w:val="0"/>
          <w:sz w:val="28"/>
          <w:szCs w:val="28"/>
          <w:highlight w:val="none"/>
          <w:lang w:val="en-US" w:eastAsia="zh-CN"/>
        </w:rPr>
        <w:t>21</w:t>
      </w:r>
      <w:r>
        <w:rPr>
          <w:rFonts w:hint="eastAsia" w:ascii="仿宋" w:hAnsi="仿宋" w:eastAsia="仿宋" w:cs="仿宋"/>
          <w:color w:val="auto"/>
          <w:kern w:val="0"/>
          <w:sz w:val="28"/>
          <w:szCs w:val="28"/>
          <w:highlight w:val="none"/>
        </w:rPr>
        <w:t>）鲁17</w:t>
      </w:r>
      <w:r>
        <w:rPr>
          <w:rFonts w:hint="eastAsia" w:ascii="仿宋" w:hAnsi="仿宋" w:eastAsia="仿宋" w:cs="仿宋"/>
          <w:color w:val="auto"/>
          <w:kern w:val="0"/>
          <w:sz w:val="28"/>
          <w:szCs w:val="28"/>
          <w:highlight w:val="none"/>
          <w:lang w:val="en-US" w:eastAsia="zh-CN"/>
        </w:rPr>
        <w:t>21</w:t>
      </w:r>
      <w:r>
        <w:rPr>
          <w:rFonts w:hint="eastAsia" w:ascii="仿宋" w:hAnsi="仿宋" w:eastAsia="仿宋" w:cs="仿宋"/>
          <w:color w:val="auto"/>
          <w:kern w:val="0"/>
          <w:sz w:val="28"/>
          <w:szCs w:val="28"/>
          <w:highlight w:val="none"/>
        </w:rPr>
        <w:t>破7号；款项性质：</w:t>
      </w:r>
      <w:r>
        <w:rPr>
          <w:rFonts w:hint="eastAsia" w:ascii="仿宋" w:hAnsi="仿宋" w:eastAsia="仿宋" w:cs="仿宋"/>
          <w:color w:val="auto"/>
          <w:kern w:val="0"/>
          <w:sz w:val="28"/>
          <w:szCs w:val="28"/>
          <w:highlight w:val="none"/>
          <w:lang w:val="en-US" w:eastAsia="zh-CN"/>
        </w:rPr>
        <w:t>盛泰公司</w:t>
      </w:r>
      <w:r>
        <w:rPr>
          <w:rFonts w:hint="eastAsia" w:ascii="仿宋" w:hAnsi="仿宋" w:eastAsia="仿宋" w:cs="仿宋"/>
          <w:color w:val="auto"/>
          <w:kern w:val="0"/>
          <w:sz w:val="28"/>
          <w:szCs w:val="28"/>
          <w:highlight w:val="none"/>
        </w:rPr>
        <w:t>破产财产拍卖价款”。逾期则视为买受人违约，竞买保证金不予退还。</w:t>
      </w:r>
      <w:r>
        <w:rPr>
          <w:rFonts w:hint="eastAsia" w:ascii="仿宋" w:hAnsi="仿宋" w:eastAsia="仿宋" w:cs="仿宋"/>
          <w:color w:val="auto"/>
          <w:kern w:val="0"/>
          <w:sz w:val="28"/>
          <w:szCs w:val="28"/>
          <w:highlight w:val="none"/>
          <w:lang w:val="en-US" w:eastAsia="zh-CN"/>
        </w:rPr>
        <w:t>有关余款缴纳相关事宜可</w:t>
      </w:r>
      <w:r>
        <w:rPr>
          <w:rFonts w:hint="eastAsia" w:ascii="仿宋" w:hAnsi="仿宋" w:eastAsia="仿宋" w:cs="仿宋"/>
          <w:color w:val="auto"/>
          <w:kern w:val="0"/>
          <w:sz w:val="28"/>
          <w:szCs w:val="28"/>
          <w:highlight w:val="none"/>
        </w:rPr>
        <w:t>及时与管理人联系。</w:t>
      </w:r>
    </w:p>
    <w:p w14:paraId="615F2E0D">
      <w:pPr>
        <w:widowControl/>
        <w:shd w:val="clear" w:color="auto" w:fill="FFFFFF"/>
        <w:spacing w:line="270" w:lineRule="atLeast"/>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九、标的咨询与查看：</w:t>
      </w:r>
    </w:p>
    <w:p w14:paraId="2CA48C13">
      <w:pPr>
        <w:widowControl/>
        <w:shd w:val="clear" w:color="auto" w:fill="FFFFFF"/>
        <w:spacing w:line="270" w:lineRule="atLeast"/>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本次竞价是经法定公告期和展示期后才举行的，竞价标的物已知及可能存在的瑕疵已在本次竞价资料中作了详尽的说明。管理人对竞价标的物所作的说明和提供的视频资料、图片等，仅供竞买人参考，不构成对标的物的任何担保。所以请竞买人在竞价前必须仔细审查竞价标的物，调查是否存在瑕疵，认真研究查看所竞买标的物的实际情况，并请亲临展示现场，有意者请亲自向管理人咨询，未咨询的竞买人视为对本标的现状认可，责任自负。竞买人慎重决定竞买行为，竞买人一旦作出竞买决定，即表明已完全了解，并接受标的物现状和一切已知及未知的瑕疵。</w:t>
      </w:r>
      <w:r>
        <w:rPr>
          <w:rFonts w:hint="eastAsia" w:ascii="仿宋" w:hAnsi="仿宋" w:eastAsia="仿宋" w:cs="仿宋"/>
          <w:color w:val="auto"/>
          <w:kern w:val="0"/>
          <w:sz w:val="28"/>
          <w:szCs w:val="28"/>
          <w:highlight w:val="none"/>
        </w:rPr>
        <w:br w:type="textWrapping"/>
      </w:r>
      <w:r>
        <w:rPr>
          <w:rFonts w:hint="eastAsia" w:ascii="仿宋" w:hAnsi="仿宋" w:eastAsia="仿宋" w:cs="仿宋"/>
          <w:color w:val="auto"/>
          <w:kern w:val="0"/>
          <w:sz w:val="28"/>
          <w:szCs w:val="28"/>
          <w:highlight w:val="none"/>
        </w:rPr>
        <w:t xml:space="preserve">     十、标的移交：</w:t>
      </w:r>
    </w:p>
    <w:p w14:paraId="21318CF1">
      <w:pPr>
        <w:widowControl/>
        <w:shd w:val="clear" w:color="auto" w:fill="FFFFFF"/>
        <w:spacing w:line="270" w:lineRule="atLeast"/>
        <w:ind w:firstLine="562" w:firstLineChars="200"/>
        <w:jc w:val="left"/>
        <w:rPr>
          <w:rFonts w:hint="eastAsia" w:ascii="仿宋" w:hAnsi="仿宋" w:eastAsia="仿宋" w:cs="仿宋"/>
          <w:color w:val="auto"/>
          <w:kern w:val="0"/>
          <w:sz w:val="28"/>
          <w:szCs w:val="28"/>
          <w:highlight w:val="none"/>
        </w:rPr>
      </w:pPr>
      <w:r>
        <w:rPr>
          <w:rFonts w:hint="eastAsia" w:ascii="仿宋" w:hAnsi="仿宋" w:eastAsia="仿宋" w:cs="仿宋"/>
          <w:b/>
          <w:bCs/>
          <w:color w:val="auto"/>
          <w:kern w:val="0"/>
          <w:sz w:val="28"/>
          <w:szCs w:val="28"/>
          <w:highlight w:val="none"/>
        </w:rPr>
        <w:t>对竞价标的能否办理过户手续、办理时间、限购等情况，请竞买人在竞买前自行向有关部门咨询确认，因标的物现状及存在瑕疵等原因不能或者延迟办理过户手续及办理二次过户造成费用增加的后果，由竞买人自负，管理人不作过户的任何承诺</w:t>
      </w:r>
      <w:r>
        <w:rPr>
          <w:rFonts w:hint="eastAsia" w:ascii="仿宋" w:hAnsi="仿宋" w:eastAsia="仿宋" w:cs="仿宋"/>
          <w:color w:val="auto"/>
          <w:kern w:val="0"/>
          <w:sz w:val="28"/>
          <w:szCs w:val="28"/>
          <w:highlight w:val="none"/>
        </w:rPr>
        <w:t>。</w:t>
      </w:r>
    </w:p>
    <w:p w14:paraId="3AC3649B">
      <w:pPr>
        <w:widowControl/>
        <w:shd w:val="clear" w:color="auto" w:fill="FFFFFF"/>
        <w:spacing w:line="270" w:lineRule="atLeast"/>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竞价成交后，买受人将竞价成交价余款缴纳完毕，管理人确认该款项到账后，买受人（单位的应委托代理人携带营业执照、授权委托书及代理人身份证件原件等相关证明材料）到管理人处办理有关移交手续。买受人支付完全部竞价成交价款后，管理人与买受人办理完毕相关移交手续后方可提取其竞价成交的财产。</w:t>
      </w:r>
    </w:p>
    <w:p w14:paraId="5CF71A43">
      <w:pPr>
        <w:widowControl/>
        <w:shd w:val="clear" w:color="auto" w:fill="FFFFFF"/>
        <w:spacing w:line="270" w:lineRule="atLeast"/>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十一、税费承担：</w:t>
      </w:r>
    </w:p>
    <w:p w14:paraId="721532F1">
      <w:pPr>
        <w:widowControl/>
        <w:shd w:val="clear" w:color="auto" w:fill="FFFFFF"/>
        <w:spacing w:line="270" w:lineRule="atLeast"/>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本次竞价活动计价货币为人民币，</w:t>
      </w:r>
      <w:r>
        <w:rPr>
          <w:rFonts w:hint="eastAsia" w:ascii="仿宋" w:hAnsi="仿宋" w:eastAsia="仿宋" w:cs="仿宋"/>
          <w:color w:val="auto"/>
          <w:kern w:val="0"/>
          <w:sz w:val="28"/>
          <w:szCs w:val="28"/>
          <w:highlight w:val="none"/>
          <w:lang w:val="en-US" w:eastAsia="zh-CN"/>
        </w:rPr>
        <w:t>成交后办理交割过户登记时产生的税费由三公司和买受人按国家规定各自承担应承担的税费，成交价不包含应补地价（如有）、土地使用费租金（如有）、土地闲置费（如有）以及买受人应承担的税、费，如有该类应付款项或债务应由买受人自行承担</w:t>
      </w:r>
      <w:r>
        <w:rPr>
          <w:rFonts w:hint="eastAsia" w:ascii="仿宋" w:hAnsi="仿宋" w:eastAsia="仿宋" w:cs="仿宋"/>
          <w:color w:val="auto"/>
          <w:kern w:val="0"/>
          <w:sz w:val="28"/>
          <w:szCs w:val="28"/>
          <w:highlight w:val="none"/>
        </w:rPr>
        <w:t>。建议竞买人竞拍前即应自行全面尽职调查、自行详细向相关主管部门咨询，全面了解需承担的款项和费用、过户流程、所需资料等，全面把握竞拍风险。买受人在承担后不得据此主张竞价无效或向管理人、上拍机构索偿。因拍卖成交之后</w:t>
      </w:r>
      <w:r>
        <w:rPr>
          <w:rFonts w:hint="eastAsia" w:ascii="仿宋" w:hAnsi="仿宋" w:eastAsia="仿宋" w:cs="仿宋"/>
          <w:color w:val="auto"/>
          <w:kern w:val="0"/>
          <w:sz w:val="28"/>
          <w:szCs w:val="28"/>
          <w:highlight w:val="none"/>
          <w:lang w:val="en-US" w:eastAsia="zh-CN"/>
        </w:rPr>
        <w:t>三</w:t>
      </w:r>
      <w:r>
        <w:rPr>
          <w:rFonts w:hint="eastAsia" w:ascii="仿宋" w:hAnsi="仿宋" w:eastAsia="仿宋" w:cs="仿宋"/>
          <w:color w:val="auto"/>
          <w:kern w:val="0"/>
          <w:sz w:val="28"/>
          <w:szCs w:val="28"/>
          <w:highlight w:val="none"/>
        </w:rPr>
        <w:t>公司需处理拍卖资产的纳税事宜，过户登记所需时间可能较长，对此，请竞买人予以充分注意，管理人不对过户登记所需时间提供任何承诺和保证。</w:t>
      </w:r>
    </w:p>
    <w:p w14:paraId="30FEA74A">
      <w:pPr>
        <w:widowControl/>
        <w:shd w:val="clear" w:color="auto" w:fill="FFFFFF"/>
        <w:spacing w:line="270" w:lineRule="atLeast"/>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十二、买受人及时处理竞价后事宜：</w:t>
      </w:r>
    </w:p>
    <w:p w14:paraId="4DC0DFAB">
      <w:pPr>
        <w:widowControl/>
        <w:shd w:val="clear" w:color="auto" w:fill="FFFFFF"/>
        <w:spacing w:line="270" w:lineRule="atLeast"/>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买受人逾期未支付竞价款或未办理交接手续是悔拍行为。买受人悔拍的，管理人可以重新竞价，买受人交纳的保证金不予退还。悔拍后重新竞价的，原买受人不得参加竞价。</w:t>
      </w:r>
      <w:r>
        <w:rPr>
          <w:rFonts w:hint="eastAsia" w:ascii="仿宋" w:hAnsi="仿宋" w:eastAsia="仿宋" w:cs="仿宋"/>
          <w:color w:val="auto"/>
          <w:kern w:val="0"/>
          <w:sz w:val="28"/>
          <w:szCs w:val="28"/>
          <w:highlight w:val="none"/>
        </w:rPr>
        <w:br w:type="textWrapping"/>
      </w:r>
      <w:r>
        <w:rPr>
          <w:rFonts w:hint="eastAsia" w:ascii="仿宋" w:hAnsi="仿宋" w:eastAsia="仿宋" w:cs="仿宋"/>
          <w:color w:val="auto"/>
          <w:kern w:val="0"/>
          <w:sz w:val="28"/>
          <w:szCs w:val="28"/>
          <w:highlight w:val="none"/>
        </w:rPr>
        <w:t xml:space="preserve">    买受人付款后应及时提取标的物，并办理交接手续，逾期不办理的，买受人应支付由此产生的费用，并承担本标的物可能发生的损毁、灭失等后果。</w:t>
      </w:r>
      <w:r>
        <w:rPr>
          <w:rFonts w:hint="eastAsia" w:ascii="仿宋" w:hAnsi="仿宋" w:eastAsia="仿宋" w:cs="仿宋"/>
          <w:color w:val="auto"/>
          <w:kern w:val="0"/>
          <w:sz w:val="28"/>
          <w:szCs w:val="28"/>
          <w:highlight w:val="none"/>
        </w:rPr>
        <w:br w:type="textWrapping"/>
      </w:r>
      <w:r>
        <w:rPr>
          <w:rFonts w:hint="eastAsia" w:ascii="仿宋" w:hAnsi="仿宋" w:eastAsia="仿宋" w:cs="仿宋"/>
          <w:color w:val="auto"/>
          <w:kern w:val="0"/>
          <w:sz w:val="28"/>
          <w:szCs w:val="28"/>
          <w:highlight w:val="none"/>
        </w:rPr>
        <w:t xml:space="preserve">    十三、参加竞买的人应当遵守拍卖公告、《竞买须知》的规定，不得阻挠其他竞买人竞价，不得操纵、垄断竞价价格，严禁竞买人恶意串标，上述行为一经发现，将取消其竞买资格，并追究相关的法律责任。</w:t>
      </w:r>
      <w:r>
        <w:rPr>
          <w:rFonts w:hint="eastAsia" w:ascii="仿宋" w:hAnsi="仿宋" w:eastAsia="仿宋" w:cs="仿宋"/>
          <w:color w:val="auto"/>
          <w:kern w:val="0"/>
          <w:sz w:val="28"/>
          <w:szCs w:val="28"/>
          <w:highlight w:val="none"/>
        </w:rPr>
        <w:br w:type="textWrapping"/>
      </w:r>
      <w:r>
        <w:rPr>
          <w:rFonts w:hint="eastAsia" w:ascii="仿宋" w:hAnsi="仿宋" w:eastAsia="仿宋" w:cs="仿宋"/>
          <w:color w:val="auto"/>
          <w:kern w:val="0"/>
          <w:sz w:val="28"/>
          <w:szCs w:val="28"/>
          <w:highlight w:val="none"/>
        </w:rPr>
        <w:t xml:space="preserve">    十四、根据法律规定，</w:t>
      </w:r>
      <w:r>
        <w:rPr>
          <w:rFonts w:hint="eastAsia" w:ascii="仿宋" w:hAnsi="仿宋" w:eastAsia="仿宋" w:cs="仿宋"/>
          <w:b/>
          <w:color w:val="auto"/>
          <w:kern w:val="0"/>
          <w:sz w:val="28"/>
          <w:szCs w:val="28"/>
          <w:highlight w:val="none"/>
        </w:rPr>
        <w:t>破产受理法院与管理人</w:t>
      </w:r>
      <w:r>
        <w:rPr>
          <w:rFonts w:hint="eastAsia" w:ascii="仿宋" w:hAnsi="仿宋" w:eastAsia="仿宋" w:cs="仿宋"/>
          <w:color w:val="auto"/>
          <w:kern w:val="0"/>
          <w:sz w:val="28"/>
          <w:szCs w:val="28"/>
          <w:highlight w:val="none"/>
        </w:rPr>
        <w:t>有权在竞价开始前、竞价过程中，中止竞价或撤回竞价</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rPr>
        <w:t>因网络或其他不可抗力导致竞价无法正常进行的，管理人待以上因素消除后视情</w:t>
      </w:r>
      <w:r>
        <w:rPr>
          <w:rFonts w:hint="eastAsia" w:ascii="仿宋" w:hAnsi="仿宋" w:eastAsia="仿宋" w:cs="仿宋"/>
          <w:color w:val="auto"/>
          <w:kern w:val="0"/>
          <w:sz w:val="28"/>
          <w:szCs w:val="28"/>
          <w:highlight w:val="none"/>
          <w:lang w:val="en-US" w:eastAsia="zh-CN"/>
        </w:rPr>
        <w:t>况</w:t>
      </w:r>
      <w:r>
        <w:rPr>
          <w:rFonts w:hint="eastAsia" w:ascii="仿宋" w:hAnsi="仿宋" w:eastAsia="仿宋" w:cs="仿宋"/>
          <w:color w:val="auto"/>
          <w:kern w:val="0"/>
          <w:sz w:val="28"/>
          <w:szCs w:val="28"/>
          <w:highlight w:val="none"/>
        </w:rPr>
        <w:t>决定重新竞价</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lang w:val="en-US" w:eastAsia="zh-CN"/>
        </w:rPr>
        <w:t>管理人</w:t>
      </w:r>
      <w:r>
        <w:rPr>
          <w:rFonts w:hint="eastAsia" w:ascii="仿宋" w:hAnsi="仿宋" w:eastAsia="仿宋" w:cs="仿宋"/>
          <w:color w:val="auto"/>
          <w:kern w:val="0"/>
          <w:sz w:val="28"/>
          <w:szCs w:val="28"/>
          <w:highlight w:val="none"/>
        </w:rPr>
        <w:t>不承担</w:t>
      </w:r>
      <w:r>
        <w:rPr>
          <w:rFonts w:hint="eastAsia" w:ascii="仿宋" w:hAnsi="仿宋" w:eastAsia="仿宋" w:cs="仿宋"/>
          <w:color w:val="auto"/>
          <w:kern w:val="0"/>
          <w:sz w:val="28"/>
          <w:szCs w:val="28"/>
          <w:highlight w:val="none"/>
          <w:lang w:val="en-US" w:eastAsia="zh-CN"/>
        </w:rPr>
        <w:t>前述情形</w:t>
      </w:r>
      <w:r>
        <w:rPr>
          <w:rFonts w:hint="eastAsia" w:ascii="仿宋" w:hAnsi="仿宋" w:eastAsia="仿宋" w:cs="仿宋"/>
          <w:color w:val="auto"/>
          <w:kern w:val="0"/>
          <w:sz w:val="28"/>
          <w:szCs w:val="28"/>
          <w:highlight w:val="none"/>
        </w:rPr>
        <w:t>造成的损失。</w:t>
      </w:r>
      <w:r>
        <w:rPr>
          <w:rFonts w:hint="eastAsia" w:ascii="仿宋" w:hAnsi="仿宋" w:eastAsia="仿宋" w:cs="仿宋"/>
          <w:color w:val="auto"/>
          <w:kern w:val="0"/>
          <w:sz w:val="28"/>
          <w:szCs w:val="28"/>
          <w:highlight w:val="none"/>
        </w:rPr>
        <w:br w:type="textWrapping"/>
      </w:r>
      <w:r>
        <w:rPr>
          <w:rFonts w:hint="eastAsia" w:ascii="仿宋" w:hAnsi="仿宋" w:eastAsia="仿宋" w:cs="仿宋"/>
          <w:color w:val="auto"/>
          <w:kern w:val="0"/>
          <w:sz w:val="28"/>
          <w:szCs w:val="28"/>
          <w:highlight w:val="none"/>
        </w:rPr>
        <w:t xml:space="preserve">    十五、为便于买受人及时收到相关的法律文书及通知，竞买人在竞价前如实向京东网络竞价平台提供确切的送达地址或者主动与管理人联系。如需更改地址，买受人应及时与管理人联系确认更改。因提供的送达地址不确切，或未及时告知变更地址，导致有关法律文书及通知无法送达的，由竞买人自行承担由此可能产生的法律后果。</w:t>
      </w:r>
      <w:r>
        <w:rPr>
          <w:rFonts w:hint="eastAsia" w:ascii="仿宋" w:hAnsi="仿宋" w:eastAsia="仿宋" w:cs="仿宋"/>
          <w:color w:val="auto"/>
          <w:kern w:val="0"/>
          <w:sz w:val="28"/>
          <w:szCs w:val="28"/>
          <w:highlight w:val="none"/>
        </w:rPr>
        <w:br w:type="textWrapping"/>
      </w:r>
      <w:r>
        <w:rPr>
          <w:rFonts w:hint="eastAsia" w:ascii="仿宋" w:hAnsi="仿宋" w:eastAsia="仿宋" w:cs="仿宋"/>
          <w:color w:val="auto"/>
          <w:kern w:val="0"/>
          <w:sz w:val="28"/>
          <w:szCs w:val="28"/>
          <w:highlight w:val="none"/>
        </w:rPr>
        <w:t xml:space="preserve">    十六、竞买人在竞价前请务必仔细阅读</w:t>
      </w:r>
      <w:r>
        <w:rPr>
          <w:rFonts w:hint="eastAsia" w:ascii="仿宋" w:hAnsi="仿宋" w:eastAsia="仿宋" w:cs="仿宋"/>
          <w:color w:val="auto"/>
          <w:kern w:val="0"/>
          <w:sz w:val="28"/>
          <w:szCs w:val="28"/>
          <w:highlight w:val="none"/>
          <w:lang w:val="en-US" w:eastAsia="zh-CN"/>
        </w:rPr>
        <w:t>拍卖</w:t>
      </w:r>
      <w:r>
        <w:rPr>
          <w:rFonts w:hint="eastAsia" w:ascii="仿宋" w:hAnsi="仿宋" w:eastAsia="仿宋" w:cs="仿宋"/>
          <w:color w:val="auto"/>
          <w:kern w:val="0"/>
          <w:sz w:val="28"/>
          <w:szCs w:val="28"/>
          <w:highlight w:val="none"/>
        </w:rPr>
        <w:t>公告、须知、标的详情。本规则其他未尽事宜，请予咨询。</w:t>
      </w:r>
    </w:p>
    <w:p w14:paraId="7A76174D">
      <w:pPr>
        <w:widowControl/>
        <w:shd w:val="clear" w:color="auto" w:fill="FFFFFF"/>
        <w:spacing w:line="270" w:lineRule="atLeast"/>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凡发现竞价中有违规行为，可如实举报。</w:t>
      </w:r>
    </w:p>
    <w:p w14:paraId="01DDC3DC">
      <w:pPr>
        <w:widowControl/>
        <w:shd w:val="clear" w:color="auto" w:fill="FFFFFF"/>
        <w:spacing w:line="270" w:lineRule="atLeast"/>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京东技术咨询电话：4006229586</w:t>
      </w:r>
    </w:p>
    <w:p w14:paraId="011CF6B3">
      <w:pPr>
        <w:widowControl/>
        <w:shd w:val="clear" w:color="auto" w:fill="FFFFFF"/>
        <w:spacing w:line="270" w:lineRule="atLeast"/>
        <w:ind w:firstLine="560" w:firstLineChars="200"/>
        <w:jc w:val="left"/>
        <w:rPr>
          <w:rFonts w:hint="eastAsia" w:ascii="仿宋" w:hAnsi="仿宋" w:eastAsia="仿宋" w:cs="仿宋"/>
          <w:color w:val="auto"/>
          <w:kern w:val="0"/>
          <w:sz w:val="28"/>
          <w:szCs w:val="28"/>
          <w:highlight w:val="none"/>
        </w:rPr>
      </w:pPr>
    </w:p>
    <w:p w14:paraId="63FF0D8A">
      <w:pPr>
        <w:widowControl/>
        <w:shd w:val="clear" w:color="auto" w:fill="FFFFFF"/>
        <w:spacing w:line="270" w:lineRule="atLeast"/>
        <w:ind w:firstLine="560" w:firstLineChars="200"/>
        <w:jc w:val="left"/>
        <w:rPr>
          <w:rFonts w:hint="eastAsia" w:ascii="仿宋" w:hAnsi="仿宋" w:eastAsia="仿宋" w:cs="仿宋"/>
          <w:color w:val="auto"/>
          <w:kern w:val="0"/>
          <w:sz w:val="28"/>
          <w:szCs w:val="28"/>
          <w:highlight w:val="none"/>
        </w:rPr>
      </w:pPr>
    </w:p>
    <w:p w14:paraId="2EA8CFBA">
      <w:pPr>
        <w:widowControl/>
        <w:shd w:val="clear" w:color="auto" w:fill="FFFFFF"/>
        <w:spacing w:line="270" w:lineRule="atLeast"/>
        <w:ind w:firstLine="560" w:firstLineChars="200"/>
        <w:jc w:val="righ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曹县盛泰置业有限公司</w:t>
      </w:r>
      <w:r>
        <w:rPr>
          <w:rFonts w:hint="eastAsia" w:ascii="仿宋" w:hAnsi="仿宋" w:eastAsia="仿宋" w:cs="仿宋"/>
          <w:color w:val="auto"/>
          <w:kern w:val="0"/>
          <w:sz w:val="28"/>
          <w:szCs w:val="28"/>
          <w:highlight w:val="none"/>
        </w:rPr>
        <w:t xml:space="preserve">管理人 </w:t>
      </w:r>
    </w:p>
    <w:p w14:paraId="62D7AE48">
      <w:pPr>
        <w:ind w:firstLine="5040" w:firstLineChars="1800"/>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二〇二</w:t>
      </w:r>
      <w:r>
        <w:rPr>
          <w:rFonts w:hint="eastAsia" w:ascii="仿宋" w:hAnsi="仿宋" w:eastAsia="仿宋" w:cs="仿宋"/>
          <w:color w:val="auto"/>
          <w:kern w:val="0"/>
          <w:sz w:val="28"/>
          <w:szCs w:val="28"/>
          <w:highlight w:val="none"/>
          <w:lang w:val="en-US" w:eastAsia="zh-CN"/>
        </w:rPr>
        <w:t>六</w:t>
      </w:r>
      <w:r>
        <w:rPr>
          <w:rFonts w:hint="eastAsia" w:ascii="仿宋" w:hAnsi="仿宋" w:eastAsia="仿宋" w:cs="仿宋"/>
          <w:color w:val="auto"/>
          <w:kern w:val="0"/>
          <w:sz w:val="28"/>
          <w:szCs w:val="28"/>
          <w:highlight w:val="none"/>
        </w:rPr>
        <w:t>年</w:t>
      </w:r>
      <w:r>
        <w:rPr>
          <w:rFonts w:hint="eastAsia" w:ascii="仿宋" w:hAnsi="仿宋" w:eastAsia="仿宋" w:cs="仿宋"/>
          <w:color w:val="auto"/>
          <w:kern w:val="0"/>
          <w:sz w:val="28"/>
          <w:szCs w:val="28"/>
          <w:highlight w:val="none"/>
          <w:lang w:val="en-US" w:eastAsia="zh-CN"/>
        </w:rPr>
        <w:t>五</w:t>
      </w:r>
      <w:r>
        <w:rPr>
          <w:rFonts w:hint="eastAsia" w:ascii="仿宋" w:hAnsi="仿宋" w:eastAsia="仿宋" w:cs="仿宋"/>
          <w:color w:val="auto"/>
          <w:kern w:val="0"/>
          <w:sz w:val="28"/>
          <w:szCs w:val="28"/>
          <w:highlight w:val="none"/>
        </w:rPr>
        <w:t>月</w:t>
      </w:r>
      <w:r>
        <w:rPr>
          <w:rFonts w:hint="eastAsia" w:ascii="仿宋" w:hAnsi="仿宋" w:eastAsia="仿宋" w:cs="仿宋"/>
          <w:color w:val="auto"/>
          <w:kern w:val="0"/>
          <w:sz w:val="28"/>
          <w:szCs w:val="28"/>
          <w:highlight w:val="none"/>
          <w:lang w:val="en-US" w:eastAsia="zh-CN"/>
        </w:rPr>
        <w:t>十九</w:t>
      </w:r>
      <w:r>
        <w:rPr>
          <w:rFonts w:hint="eastAsia" w:ascii="仿宋" w:hAnsi="仿宋" w:eastAsia="仿宋" w:cs="仿宋"/>
          <w:color w:val="auto"/>
          <w:kern w:val="0"/>
          <w:sz w:val="28"/>
          <w:szCs w:val="28"/>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I5N2FkOTk1MGNiYjM5OWUyMmY3MmI1Njc5ZDVmMzMifQ=="/>
  </w:docVars>
  <w:rsids>
    <w:rsidRoot w:val="006D5E3F"/>
    <w:rsid w:val="00003979"/>
    <w:rsid w:val="00052B63"/>
    <w:rsid w:val="00081441"/>
    <w:rsid w:val="00082E65"/>
    <w:rsid w:val="000D345A"/>
    <w:rsid w:val="000E564B"/>
    <w:rsid w:val="000E6BAB"/>
    <w:rsid w:val="000E782F"/>
    <w:rsid w:val="00171861"/>
    <w:rsid w:val="0018709C"/>
    <w:rsid w:val="001A1521"/>
    <w:rsid w:val="001E1851"/>
    <w:rsid w:val="00291D81"/>
    <w:rsid w:val="00297A89"/>
    <w:rsid w:val="002A600A"/>
    <w:rsid w:val="002A7219"/>
    <w:rsid w:val="002B282B"/>
    <w:rsid w:val="002C721B"/>
    <w:rsid w:val="002D1BEB"/>
    <w:rsid w:val="002D5768"/>
    <w:rsid w:val="002E05AC"/>
    <w:rsid w:val="002E76C1"/>
    <w:rsid w:val="0030462B"/>
    <w:rsid w:val="00345D5B"/>
    <w:rsid w:val="003D54CE"/>
    <w:rsid w:val="00456484"/>
    <w:rsid w:val="004C0ECA"/>
    <w:rsid w:val="004C382F"/>
    <w:rsid w:val="005828A4"/>
    <w:rsid w:val="005955CD"/>
    <w:rsid w:val="005961F9"/>
    <w:rsid w:val="00597AA2"/>
    <w:rsid w:val="005A3E5B"/>
    <w:rsid w:val="005B17B1"/>
    <w:rsid w:val="005B37D8"/>
    <w:rsid w:val="005B3F03"/>
    <w:rsid w:val="005E7B3A"/>
    <w:rsid w:val="005F3ECB"/>
    <w:rsid w:val="005F4E66"/>
    <w:rsid w:val="00612339"/>
    <w:rsid w:val="006131A1"/>
    <w:rsid w:val="00661CE6"/>
    <w:rsid w:val="006B397B"/>
    <w:rsid w:val="006D5E3F"/>
    <w:rsid w:val="006F297A"/>
    <w:rsid w:val="006F4D4A"/>
    <w:rsid w:val="007E349F"/>
    <w:rsid w:val="00845DAB"/>
    <w:rsid w:val="00855FA3"/>
    <w:rsid w:val="00894564"/>
    <w:rsid w:val="00894E8B"/>
    <w:rsid w:val="009166C1"/>
    <w:rsid w:val="0092365D"/>
    <w:rsid w:val="00930FEE"/>
    <w:rsid w:val="0094009C"/>
    <w:rsid w:val="009B2A35"/>
    <w:rsid w:val="009B3DB5"/>
    <w:rsid w:val="00A00525"/>
    <w:rsid w:val="00A317DC"/>
    <w:rsid w:val="00A55CD5"/>
    <w:rsid w:val="00A81E5E"/>
    <w:rsid w:val="00A928F2"/>
    <w:rsid w:val="00A95C70"/>
    <w:rsid w:val="00AB4B8E"/>
    <w:rsid w:val="00AB56FB"/>
    <w:rsid w:val="00B829F9"/>
    <w:rsid w:val="00B877A1"/>
    <w:rsid w:val="00BC7675"/>
    <w:rsid w:val="00BE6B5B"/>
    <w:rsid w:val="00C372F8"/>
    <w:rsid w:val="00C87801"/>
    <w:rsid w:val="00CB41C1"/>
    <w:rsid w:val="00CD0008"/>
    <w:rsid w:val="00CF3C0E"/>
    <w:rsid w:val="00D04980"/>
    <w:rsid w:val="00D14ECF"/>
    <w:rsid w:val="00D33778"/>
    <w:rsid w:val="00D8364B"/>
    <w:rsid w:val="00D8394F"/>
    <w:rsid w:val="00DD19F5"/>
    <w:rsid w:val="00E02BCB"/>
    <w:rsid w:val="00E1099C"/>
    <w:rsid w:val="00E31B02"/>
    <w:rsid w:val="00F06D4B"/>
    <w:rsid w:val="00F138AA"/>
    <w:rsid w:val="00F86503"/>
    <w:rsid w:val="00FC071C"/>
    <w:rsid w:val="00FE7769"/>
    <w:rsid w:val="00FF467E"/>
    <w:rsid w:val="0176597C"/>
    <w:rsid w:val="03166D2D"/>
    <w:rsid w:val="039B323B"/>
    <w:rsid w:val="071017DE"/>
    <w:rsid w:val="099C4769"/>
    <w:rsid w:val="09FD5502"/>
    <w:rsid w:val="0A6A0048"/>
    <w:rsid w:val="0AE03FD0"/>
    <w:rsid w:val="0CE25B7D"/>
    <w:rsid w:val="0FF24B7C"/>
    <w:rsid w:val="1033163B"/>
    <w:rsid w:val="112B2412"/>
    <w:rsid w:val="11671D8C"/>
    <w:rsid w:val="123E63CD"/>
    <w:rsid w:val="127E3FF0"/>
    <w:rsid w:val="17C84600"/>
    <w:rsid w:val="17E470BF"/>
    <w:rsid w:val="18497A19"/>
    <w:rsid w:val="186B49E0"/>
    <w:rsid w:val="18D752FF"/>
    <w:rsid w:val="1B5B7942"/>
    <w:rsid w:val="1D4B29CD"/>
    <w:rsid w:val="1D770734"/>
    <w:rsid w:val="1D8647D2"/>
    <w:rsid w:val="204F45E9"/>
    <w:rsid w:val="20A94D08"/>
    <w:rsid w:val="216D3B16"/>
    <w:rsid w:val="245F0E98"/>
    <w:rsid w:val="24E52C95"/>
    <w:rsid w:val="254C4AC2"/>
    <w:rsid w:val="282B44F6"/>
    <w:rsid w:val="294D58D2"/>
    <w:rsid w:val="2B3C7346"/>
    <w:rsid w:val="2D332173"/>
    <w:rsid w:val="2EB85177"/>
    <w:rsid w:val="2F1523C9"/>
    <w:rsid w:val="330F5F53"/>
    <w:rsid w:val="332D7150"/>
    <w:rsid w:val="33CB74FA"/>
    <w:rsid w:val="33F702EF"/>
    <w:rsid w:val="349E0BBF"/>
    <w:rsid w:val="35D8091E"/>
    <w:rsid w:val="36D93CDC"/>
    <w:rsid w:val="39980AA3"/>
    <w:rsid w:val="3A0A2948"/>
    <w:rsid w:val="3A7E5266"/>
    <w:rsid w:val="3A813820"/>
    <w:rsid w:val="3BDA6A8C"/>
    <w:rsid w:val="3C0B0DDB"/>
    <w:rsid w:val="3C112BC2"/>
    <w:rsid w:val="3E0F771B"/>
    <w:rsid w:val="45627B42"/>
    <w:rsid w:val="45853B7C"/>
    <w:rsid w:val="46893028"/>
    <w:rsid w:val="47355894"/>
    <w:rsid w:val="482E1A5D"/>
    <w:rsid w:val="4ACB608C"/>
    <w:rsid w:val="4C037BC1"/>
    <w:rsid w:val="4D05429A"/>
    <w:rsid w:val="4E435468"/>
    <w:rsid w:val="4E9F55E6"/>
    <w:rsid w:val="4EDA3035"/>
    <w:rsid w:val="4EE37B40"/>
    <w:rsid w:val="4F884709"/>
    <w:rsid w:val="4F9A2D65"/>
    <w:rsid w:val="5469098E"/>
    <w:rsid w:val="56CC11BF"/>
    <w:rsid w:val="570738D6"/>
    <w:rsid w:val="571F7FB8"/>
    <w:rsid w:val="594D3F55"/>
    <w:rsid w:val="5A5A0B0C"/>
    <w:rsid w:val="5C4F629F"/>
    <w:rsid w:val="5D773F2D"/>
    <w:rsid w:val="60083263"/>
    <w:rsid w:val="606B2CA3"/>
    <w:rsid w:val="608B4A10"/>
    <w:rsid w:val="62080A1D"/>
    <w:rsid w:val="6308230A"/>
    <w:rsid w:val="63C27722"/>
    <w:rsid w:val="64315479"/>
    <w:rsid w:val="64BB747E"/>
    <w:rsid w:val="65E62563"/>
    <w:rsid w:val="660404C6"/>
    <w:rsid w:val="66913324"/>
    <w:rsid w:val="679C17AA"/>
    <w:rsid w:val="69973F40"/>
    <w:rsid w:val="69C3528B"/>
    <w:rsid w:val="6A841925"/>
    <w:rsid w:val="6C062EF1"/>
    <w:rsid w:val="6C1E5102"/>
    <w:rsid w:val="6C6F275A"/>
    <w:rsid w:val="6CA24FC7"/>
    <w:rsid w:val="6D8A1815"/>
    <w:rsid w:val="6D930EB6"/>
    <w:rsid w:val="6E4843FE"/>
    <w:rsid w:val="6F991080"/>
    <w:rsid w:val="711754F2"/>
    <w:rsid w:val="72053532"/>
    <w:rsid w:val="72711862"/>
    <w:rsid w:val="72B32D2E"/>
    <w:rsid w:val="72D435B1"/>
    <w:rsid w:val="732079E8"/>
    <w:rsid w:val="770C2754"/>
    <w:rsid w:val="786A644A"/>
    <w:rsid w:val="7C9C690A"/>
    <w:rsid w:val="7E762621"/>
    <w:rsid w:val="7EB0669D"/>
    <w:rsid w:val="7EE10F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autoRedefine/>
    <w:unhideWhenUsed/>
    <w:qFormat/>
    <w:uiPriority w:val="99"/>
    <w:rPr>
      <w:color w:val="0563C1" w:themeColor="hyperlink"/>
      <w:u w:val="single"/>
      <w14:textFill>
        <w14:solidFill>
          <w14:schemeClr w14:val="hlink"/>
        </w14:solidFill>
      </w14:textFill>
    </w:rPr>
  </w:style>
  <w:style w:type="character" w:customStyle="1" w:styleId="8">
    <w:name w:val="页眉 字符"/>
    <w:basedOn w:val="6"/>
    <w:link w:val="3"/>
    <w:qFormat/>
    <w:uiPriority w:val="99"/>
    <w:rPr>
      <w:sz w:val="18"/>
      <w:szCs w:val="18"/>
    </w:rPr>
  </w:style>
  <w:style w:type="character" w:customStyle="1" w:styleId="9">
    <w:name w:val="页脚 字符"/>
    <w:basedOn w:val="6"/>
    <w:link w:val="2"/>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5929</Words>
  <Characters>6203</Characters>
  <Lines>24</Lines>
  <Paragraphs>6</Paragraphs>
  <TotalTime>28</TotalTime>
  <ScaleCrop>false</ScaleCrop>
  <LinksUpToDate>false</LinksUpToDate>
  <CharactersWithSpaces>6317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2020-10-21T02:39:00Z</dcterms:created>
  <dc:creator>gaochang1</dc:creator>
  <cp:lastModifiedBy>大w</cp:lastModifiedBy>
  <dcterms:modified xsi:type="dcterms:W3CDTF">2026-05-21T15:05:03Z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FFA82828416A4B75B617F81CD792A9F6_13</vt:lpwstr>
  </property>
  <property fmtid="{D5CDD505-2E9C-101B-9397-08002B2CF9AE}" pid="4" name="KSOTemplateDocerSaveRecord">
    <vt:lpwstr>eyJoZGlkIjoiNzQyN2JlOTY4MWIzMGM3N2Q3NzczMzMwMDg5NzEyYjgiLCJ1c2VySWQiOiIxOTQwODIxNjYifQ==</vt:lpwstr>
  </property>
</Properties>
</file>