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D3A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 w:hAnsi="仿宋" w:eastAsia="仿宋" w:cs="仿宋"/>
          <w:b/>
          <w:color w:val="000000" w:themeColor="text1"/>
          <w:sz w:val="36"/>
          <w:szCs w:val="36"/>
          <w14:textFill>
            <w14:solidFill>
              <w14:schemeClr w14:val="tx1"/>
            </w14:solidFill>
          </w14:textFill>
        </w:rPr>
      </w:pPr>
      <w:r>
        <w:rPr>
          <w:rFonts w:hint="eastAsia" w:ascii="仿宋" w:hAnsi="仿宋" w:eastAsia="仿宋" w:cs="仿宋"/>
          <w:b/>
          <w:color w:val="000000" w:themeColor="text1"/>
          <w:sz w:val="36"/>
          <w:szCs w:val="36"/>
          <w14:textFill>
            <w14:solidFill>
              <w14:schemeClr w14:val="tx1"/>
            </w14:solidFill>
          </w14:textFill>
        </w:rPr>
        <w:t>债权申报须知</w:t>
      </w:r>
    </w:p>
    <w:p w14:paraId="3BF6EFA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eastAsia="zh-CN"/>
        </w:rPr>
      </w:pPr>
      <w:r>
        <w:rPr>
          <w:rFonts w:hint="eastAsia" w:ascii="仿宋" w:hAnsi="仿宋" w:eastAsia="仿宋"/>
          <w:sz w:val="28"/>
          <w:szCs w:val="28"/>
          <w:lang w:val="en-US" w:eastAsia="zh-CN"/>
        </w:rPr>
        <w:t>2026</w:t>
      </w:r>
      <w:r>
        <w:rPr>
          <w:rFonts w:hint="eastAsia" w:ascii="仿宋" w:hAnsi="仿宋" w:eastAsia="仿宋"/>
          <w:sz w:val="28"/>
          <w:szCs w:val="28"/>
        </w:rPr>
        <w:t>年</w:t>
      </w:r>
      <w:r>
        <w:rPr>
          <w:rFonts w:hint="eastAsia" w:ascii="仿宋" w:hAnsi="仿宋" w:eastAsia="仿宋"/>
          <w:sz w:val="28"/>
          <w:szCs w:val="28"/>
          <w:lang w:val="en-US" w:eastAsia="zh-CN"/>
        </w:rPr>
        <w:t>4</w:t>
      </w:r>
      <w:r>
        <w:rPr>
          <w:rFonts w:hint="eastAsia" w:ascii="仿宋" w:hAnsi="仿宋" w:eastAsia="仿宋"/>
          <w:sz w:val="28"/>
          <w:szCs w:val="28"/>
          <w:highlight w:val="none"/>
        </w:rPr>
        <w:t>月</w:t>
      </w:r>
      <w:r>
        <w:rPr>
          <w:rFonts w:hint="eastAsia" w:ascii="仿宋" w:hAnsi="仿宋" w:eastAsia="仿宋"/>
          <w:sz w:val="28"/>
          <w:szCs w:val="28"/>
          <w:highlight w:val="none"/>
          <w:lang w:val="en-US" w:eastAsia="zh-CN"/>
        </w:rPr>
        <w:t>24</w:t>
      </w:r>
      <w:r>
        <w:rPr>
          <w:rFonts w:hint="eastAsia" w:ascii="仿宋" w:hAnsi="仿宋" w:eastAsia="仿宋"/>
          <w:sz w:val="28"/>
          <w:szCs w:val="28"/>
          <w:highlight w:val="none"/>
        </w:rPr>
        <w:t>日</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深圳市中级人民法院</w:t>
      </w:r>
      <w:r>
        <w:rPr>
          <w:rFonts w:hint="eastAsia" w:ascii="仿宋" w:hAnsi="仿宋" w:eastAsia="仿宋"/>
          <w:sz w:val="28"/>
          <w:szCs w:val="28"/>
        </w:rPr>
        <w:t>作出</w:t>
      </w:r>
      <w:r>
        <w:rPr>
          <w:rFonts w:hint="eastAsia" w:ascii="仿宋" w:hAnsi="仿宋" w:eastAsia="仿宋"/>
          <w:sz w:val="28"/>
          <w:szCs w:val="28"/>
          <w:lang w:val="en-US" w:eastAsia="zh-CN"/>
        </w:rPr>
        <w:t>（2026）</w:t>
      </w:r>
      <w:r>
        <w:rPr>
          <w:rFonts w:hint="eastAsia" w:ascii="仿宋" w:hAnsi="仿宋" w:eastAsia="仿宋"/>
          <w:sz w:val="28"/>
          <w:szCs w:val="28"/>
          <w:highlight w:val="none"/>
          <w:lang w:val="en-US" w:eastAsia="zh-CN"/>
        </w:rPr>
        <w:t>粤03破申169号</w:t>
      </w:r>
      <w:r>
        <w:rPr>
          <w:rFonts w:hint="eastAsia" w:ascii="仿宋" w:hAnsi="仿宋" w:eastAsia="仿宋"/>
          <w:sz w:val="28"/>
          <w:szCs w:val="28"/>
        </w:rPr>
        <w:t>《民事裁定书》，裁定受理</w:t>
      </w:r>
      <w:bookmarkStart w:id="0" w:name="_GoBack"/>
      <w:bookmarkEnd w:id="0"/>
      <w:r>
        <w:rPr>
          <w:rFonts w:hint="eastAsia" w:ascii="仿宋" w:hAnsi="仿宋" w:eastAsia="仿宋"/>
          <w:sz w:val="28"/>
          <w:szCs w:val="28"/>
          <w:lang w:eastAsia="zh-CN"/>
        </w:rPr>
        <w:t>深圳乐学乐园儿童教育有限公司</w:t>
      </w:r>
      <w:r>
        <w:rPr>
          <w:rFonts w:hint="eastAsia" w:ascii="仿宋" w:hAnsi="仿宋" w:eastAsia="仿宋"/>
          <w:sz w:val="28"/>
          <w:szCs w:val="28"/>
          <w:lang w:val="en-US" w:eastAsia="zh-CN"/>
        </w:rPr>
        <w:t>（以下简称“乐学公司”）</w:t>
      </w:r>
      <w:r>
        <w:rPr>
          <w:rFonts w:hint="eastAsia" w:ascii="仿宋" w:hAnsi="仿宋" w:eastAsia="仿宋"/>
          <w:sz w:val="28"/>
          <w:szCs w:val="28"/>
        </w:rPr>
        <w:t>提出的破产清算申请</w:t>
      </w:r>
      <w:r>
        <w:rPr>
          <w:rFonts w:hint="eastAsia" w:ascii="仿宋" w:hAnsi="仿宋" w:eastAsia="仿宋"/>
          <w:sz w:val="28"/>
          <w:szCs w:val="28"/>
          <w:lang w:eastAsia="zh-CN"/>
        </w:rPr>
        <w:t>。</w:t>
      </w:r>
    </w:p>
    <w:p w14:paraId="3665454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sz w:val="28"/>
          <w:szCs w:val="28"/>
          <w:lang w:val="en-US" w:eastAsia="zh-CN"/>
        </w:rPr>
        <w:t>2026</w:t>
      </w:r>
      <w:r>
        <w:rPr>
          <w:rFonts w:hint="eastAsia" w:ascii="仿宋" w:hAnsi="仿宋" w:eastAsia="仿宋"/>
          <w:sz w:val="28"/>
          <w:szCs w:val="28"/>
        </w:rPr>
        <w:t>年</w:t>
      </w:r>
      <w:r>
        <w:rPr>
          <w:rFonts w:hint="eastAsia" w:ascii="仿宋" w:hAnsi="仿宋" w:eastAsia="仿宋"/>
          <w:sz w:val="28"/>
          <w:szCs w:val="28"/>
          <w:lang w:val="en-US" w:eastAsia="zh-CN"/>
        </w:rPr>
        <w:t>5</w:t>
      </w:r>
      <w:r>
        <w:rPr>
          <w:rFonts w:hint="eastAsia" w:ascii="仿宋" w:hAnsi="仿宋" w:eastAsia="仿宋"/>
          <w:sz w:val="28"/>
          <w:szCs w:val="28"/>
          <w:highlight w:val="none"/>
        </w:rPr>
        <w:t>月</w:t>
      </w:r>
      <w:r>
        <w:rPr>
          <w:rFonts w:hint="eastAsia" w:ascii="仿宋" w:hAnsi="仿宋" w:eastAsia="仿宋"/>
          <w:sz w:val="28"/>
          <w:szCs w:val="28"/>
          <w:highlight w:val="none"/>
          <w:lang w:val="en-US" w:eastAsia="zh-CN"/>
        </w:rPr>
        <w:t>25</w:t>
      </w:r>
      <w:r>
        <w:rPr>
          <w:rFonts w:hint="eastAsia" w:ascii="仿宋" w:hAnsi="仿宋" w:eastAsia="仿宋"/>
          <w:sz w:val="28"/>
          <w:szCs w:val="28"/>
          <w:highlight w:val="none"/>
        </w:rPr>
        <w:t>日</w:t>
      </w:r>
      <w:r>
        <w:rPr>
          <w:rFonts w:hint="eastAsia" w:ascii="仿宋" w:hAnsi="仿宋" w:eastAsia="仿宋"/>
          <w:sz w:val="28"/>
          <w:szCs w:val="28"/>
          <w:highlight w:val="none"/>
          <w:lang w:eastAsia="zh-CN"/>
        </w:rPr>
        <w:t>，</w:t>
      </w:r>
      <w:r>
        <w:rPr>
          <w:rFonts w:hint="eastAsia" w:ascii="仿宋" w:hAnsi="仿宋" w:eastAsia="仿宋"/>
          <w:sz w:val="28"/>
          <w:szCs w:val="28"/>
          <w:lang w:val="en-US" w:eastAsia="zh-CN"/>
        </w:rPr>
        <w:t>深圳市中级人民法院</w:t>
      </w:r>
      <w:r>
        <w:rPr>
          <w:rFonts w:hint="eastAsia" w:ascii="仿宋" w:hAnsi="仿宋" w:eastAsia="仿宋"/>
          <w:sz w:val="28"/>
          <w:szCs w:val="28"/>
        </w:rPr>
        <w:t>作出</w:t>
      </w:r>
      <w:r>
        <w:rPr>
          <w:rFonts w:hint="eastAsia" w:ascii="仿宋" w:hAnsi="仿宋" w:eastAsia="仿宋"/>
          <w:sz w:val="28"/>
          <w:szCs w:val="28"/>
          <w:lang w:val="en-US" w:eastAsia="zh-CN"/>
        </w:rPr>
        <w:t>（2026）</w:t>
      </w:r>
      <w:r>
        <w:rPr>
          <w:rFonts w:hint="eastAsia" w:ascii="仿宋" w:hAnsi="仿宋" w:eastAsia="仿宋"/>
          <w:sz w:val="28"/>
          <w:szCs w:val="28"/>
          <w:highlight w:val="none"/>
          <w:lang w:val="en-US" w:eastAsia="zh-CN"/>
        </w:rPr>
        <w:t>粤03破233号</w:t>
      </w:r>
      <w:r>
        <w:rPr>
          <w:rFonts w:hint="eastAsia" w:ascii="仿宋" w:hAnsi="仿宋" w:eastAsia="仿宋"/>
          <w:sz w:val="28"/>
          <w:szCs w:val="28"/>
        </w:rPr>
        <w:t>《</w:t>
      </w:r>
      <w:r>
        <w:rPr>
          <w:rFonts w:hint="eastAsia" w:ascii="仿宋" w:hAnsi="仿宋" w:eastAsia="仿宋"/>
          <w:sz w:val="28"/>
          <w:szCs w:val="28"/>
          <w:lang w:val="en-US" w:eastAsia="zh-CN"/>
        </w:rPr>
        <w:t>决定书</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指定</w:t>
      </w:r>
      <w:r>
        <w:rPr>
          <w:rFonts w:hint="eastAsia" w:ascii="仿宋" w:hAnsi="仿宋" w:eastAsia="仿宋"/>
          <w:sz w:val="28"/>
          <w:szCs w:val="28"/>
          <w:lang w:val="en-US" w:eastAsia="zh-CN"/>
        </w:rPr>
        <w:t>北京市中闻（深圳）</w:t>
      </w:r>
      <w:r>
        <w:rPr>
          <w:rFonts w:hint="eastAsia" w:ascii="仿宋" w:hAnsi="仿宋" w:eastAsia="仿宋"/>
          <w:sz w:val="28"/>
          <w:szCs w:val="28"/>
        </w:rPr>
        <w:t>律师事务所为</w:t>
      </w:r>
      <w:r>
        <w:rPr>
          <w:rFonts w:hint="eastAsia" w:ascii="仿宋" w:hAnsi="仿宋" w:eastAsia="仿宋"/>
          <w:sz w:val="28"/>
          <w:szCs w:val="28"/>
          <w:lang w:val="en-US" w:eastAsia="zh-CN"/>
        </w:rPr>
        <w:t>乐学公司</w:t>
      </w:r>
      <w:r>
        <w:rPr>
          <w:rFonts w:hint="eastAsia" w:ascii="仿宋" w:hAnsi="仿宋" w:eastAsia="仿宋"/>
          <w:sz w:val="28"/>
          <w:szCs w:val="28"/>
        </w:rPr>
        <w:t>管理人，负责</w:t>
      </w:r>
      <w:r>
        <w:rPr>
          <w:rFonts w:hint="eastAsia" w:ascii="仿宋" w:hAnsi="仿宋" w:eastAsia="仿宋"/>
          <w:sz w:val="28"/>
          <w:szCs w:val="28"/>
          <w:lang w:val="en-US" w:eastAsia="zh-CN"/>
        </w:rPr>
        <w:t>乐学公司</w:t>
      </w:r>
      <w:r>
        <w:rPr>
          <w:rFonts w:hint="eastAsia" w:ascii="仿宋" w:hAnsi="仿宋" w:eastAsia="仿宋"/>
          <w:sz w:val="28"/>
          <w:szCs w:val="28"/>
        </w:rPr>
        <w:t>破产清算工作</w:t>
      </w:r>
      <w:r>
        <w:rPr>
          <w:rFonts w:hint="eastAsia" w:ascii="仿宋" w:hAnsi="仿宋" w:eastAsia="仿宋"/>
          <w:sz w:val="28"/>
          <w:szCs w:val="28"/>
          <w:lang w:eastAsia="zh-CN"/>
        </w:rPr>
        <w:t>。</w:t>
      </w:r>
      <w:r>
        <w:rPr>
          <w:rFonts w:hint="eastAsia" w:ascii="仿宋" w:hAnsi="仿宋" w:eastAsia="仿宋" w:cs="仿宋"/>
          <w:color w:val="auto"/>
          <w:sz w:val="28"/>
          <w:szCs w:val="28"/>
        </w:rPr>
        <w:t>为保证债权申报工作的顺利进行，现就债权申报相关事宜说明如下：</w:t>
      </w:r>
    </w:p>
    <w:p w14:paraId="4185F8AC">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一、债权申报主体</w:t>
      </w:r>
    </w:p>
    <w:p w14:paraId="0487A75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对</w:t>
      </w:r>
      <w:r>
        <w:rPr>
          <w:rFonts w:hint="eastAsia" w:ascii="仿宋" w:hAnsi="仿宋" w:eastAsia="仿宋" w:cs="仿宋"/>
          <w:b w:val="0"/>
          <w:bCs w:val="0"/>
          <w:color w:val="auto"/>
          <w:sz w:val="28"/>
          <w:szCs w:val="28"/>
          <w:lang w:val="en-US" w:eastAsia="zh-CN"/>
        </w:rPr>
        <w:t>乐学</w:t>
      </w:r>
      <w:r>
        <w:rPr>
          <w:rFonts w:hint="eastAsia" w:ascii="仿宋" w:hAnsi="仿宋" w:eastAsia="仿宋" w:cs="仿宋"/>
          <w:b w:val="0"/>
          <w:bCs w:val="0"/>
          <w:color w:val="auto"/>
          <w:sz w:val="28"/>
          <w:szCs w:val="28"/>
        </w:rPr>
        <w:t>公司</w:t>
      </w:r>
      <w:r>
        <w:rPr>
          <w:rFonts w:hint="eastAsia" w:ascii="仿宋" w:hAnsi="仿宋" w:eastAsia="仿宋" w:cs="仿宋"/>
          <w:color w:val="auto"/>
          <w:sz w:val="28"/>
          <w:szCs w:val="28"/>
        </w:rPr>
        <w:t>享有到期或未到期债权的自然人、法人或其他组织，均可申报债权。</w:t>
      </w:r>
    </w:p>
    <w:p w14:paraId="712FC7B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二、债权申报材料</w:t>
      </w:r>
    </w:p>
    <w:p w14:paraId="113DF91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申报人应根据实际情况向管理人提交如下材料：</w:t>
      </w:r>
    </w:p>
    <w:p w14:paraId="23813234">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rPr>
        <w:t>（一）</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债权申报登记表</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rPr>
        <w:t>《债权申报</w:t>
      </w:r>
      <w:r>
        <w:rPr>
          <w:rFonts w:hint="eastAsia" w:ascii="仿宋" w:hAnsi="仿宋" w:eastAsia="仿宋" w:cs="仿宋"/>
          <w:b/>
          <w:bCs/>
          <w:color w:val="auto"/>
          <w:sz w:val="28"/>
          <w:szCs w:val="28"/>
          <w:lang w:val="en-US" w:eastAsia="zh-CN"/>
        </w:rPr>
        <w:t>书</w:t>
      </w: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债权申报材料清单》</w:t>
      </w:r>
      <w:r>
        <w:rPr>
          <w:rFonts w:hint="eastAsia" w:ascii="仿宋" w:hAnsi="仿宋" w:eastAsia="仿宋" w:cs="仿宋"/>
          <w:b/>
          <w:bCs/>
          <w:color w:val="auto"/>
          <w:sz w:val="28"/>
          <w:szCs w:val="28"/>
        </w:rPr>
        <w:t>《债权申报证据清单》</w:t>
      </w:r>
    </w:p>
    <w:p w14:paraId="0240A77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申报人应就债权申报事项如实、详细填写《债权申报</w:t>
      </w:r>
      <w:r>
        <w:rPr>
          <w:rFonts w:hint="eastAsia" w:ascii="仿宋" w:hAnsi="仿宋" w:eastAsia="仿宋" w:cs="仿宋"/>
          <w:color w:val="auto"/>
          <w:sz w:val="28"/>
          <w:szCs w:val="28"/>
          <w:lang w:val="en-US" w:eastAsia="zh-CN"/>
        </w:rPr>
        <w:t>登记表</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债权申报书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并签字/盖章，申报金额必须明确具体并附详细计算方式（利息计算方式须明确本金、计算期间及利率）。</w:t>
      </w:r>
    </w:p>
    <w:p w14:paraId="1CE9E39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申报人应按照本</w:t>
      </w:r>
      <w:r>
        <w:rPr>
          <w:rFonts w:hint="eastAsia" w:ascii="仿宋" w:hAnsi="仿宋" w:eastAsia="仿宋" w:cs="仿宋"/>
          <w:color w:val="auto"/>
          <w:sz w:val="28"/>
          <w:szCs w:val="28"/>
          <w:lang w:val="en-US" w:eastAsia="zh-CN"/>
        </w:rPr>
        <w:t>指南</w:t>
      </w:r>
      <w:r>
        <w:rPr>
          <w:rFonts w:hint="eastAsia" w:ascii="仿宋" w:hAnsi="仿宋" w:eastAsia="仿宋" w:cs="仿宋"/>
          <w:color w:val="auto"/>
          <w:sz w:val="28"/>
          <w:szCs w:val="28"/>
        </w:rPr>
        <w:t>的要求提交材料，且应根据实际提交的材料填写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债权申报材料清单</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《债权申报证据清单》并签字/盖章。</w:t>
      </w:r>
    </w:p>
    <w:p w14:paraId="38B9209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（二）债权申报人主体材料</w:t>
      </w:r>
    </w:p>
    <w:p w14:paraId="3DFD6B3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申报人为法人，提供营业执照复印件（加盖公章）、法定代表人身份证明书（原件）、法定代表人身份证复印件（加盖公章）；</w:t>
      </w:r>
    </w:p>
    <w:p w14:paraId="092BEA8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申报人为其他组织的，提供相关主体执照证件复印件（加盖公章）、负责人身份证明（原件）、负责人身份证复印件（加盖公章）；</w:t>
      </w:r>
    </w:p>
    <w:p w14:paraId="45EAC75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申报人为个人的，提供个人身份证等有效证件复印件；</w:t>
      </w:r>
    </w:p>
    <w:p w14:paraId="564711C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申报人委托其他人代为申报的，除上述材料外须同时提交《授权委托书》（原件）及代理人身份证明，</w:t>
      </w:r>
      <w:r>
        <w:rPr>
          <w:rFonts w:hint="eastAsia" w:ascii="仿宋" w:hAnsi="仿宋" w:eastAsia="仿宋" w:cs="仿宋"/>
          <w:b/>
          <w:bCs/>
          <w:color w:val="auto"/>
          <w:sz w:val="28"/>
          <w:szCs w:val="28"/>
        </w:rPr>
        <w:t>受托人为律师的还需提交律师事务所所函及律师执业证复印件</w:t>
      </w:r>
      <w:r>
        <w:rPr>
          <w:rFonts w:hint="eastAsia" w:ascii="仿宋" w:hAnsi="仿宋" w:eastAsia="仿宋" w:cs="仿宋"/>
          <w:color w:val="auto"/>
          <w:sz w:val="28"/>
          <w:szCs w:val="28"/>
        </w:rPr>
        <w:t>。</w:t>
      </w:r>
    </w:p>
    <w:p w14:paraId="01C62759">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（三）债权申报相关证据材料</w:t>
      </w:r>
    </w:p>
    <w:p w14:paraId="1D17E39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申报债权时，应当提供相关证据材料，以证明债权的金额、形成原因、事实经过、有无担保、是否已过诉讼时效等。</w:t>
      </w:r>
    </w:p>
    <w:p w14:paraId="07EE1B8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债权如有担保的，须提交抵押合同、质押合同、保证合同及相关的登记证件等文件。</w:t>
      </w:r>
    </w:p>
    <w:p w14:paraId="401C75F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bCs/>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债权如有生效法律文书支持的，须提交该生效法律文书。</w:t>
      </w:r>
      <w:r>
        <w:rPr>
          <w:rFonts w:hint="eastAsia" w:ascii="仿宋" w:hAnsi="仿宋" w:eastAsia="仿宋" w:cs="仿宋"/>
          <w:color w:val="auto"/>
          <w:sz w:val="28"/>
          <w:szCs w:val="28"/>
          <w:lang w:val="en-US" w:eastAsia="zh-CN"/>
        </w:rPr>
        <w:t>人民</w:t>
      </w:r>
      <w:r>
        <w:rPr>
          <w:rFonts w:hint="eastAsia" w:ascii="仿宋" w:hAnsi="仿宋" w:eastAsia="仿宋" w:cs="仿宋"/>
          <w:color w:val="auto"/>
          <w:sz w:val="28"/>
          <w:szCs w:val="28"/>
        </w:rPr>
        <w:t>法院出具的法律文书应附文书已生效的证明，经过两级法院审理的，须提交两级法院的生效法律文书；仲裁</w:t>
      </w:r>
      <w:r>
        <w:rPr>
          <w:rFonts w:hint="eastAsia" w:ascii="仿宋" w:hAnsi="仿宋" w:eastAsia="仿宋" w:cs="仿宋"/>
          <w:color w:val="auto"/>
          <w:sz w:val="28"/>
          <w:szCs w:val="28"/>
          <w:lang w:val="en-US" w:eastAsia="zh-CN"/>
        </w:rPr>
        <w:t>机构</w:t>
      </w:r>
      <w:r>
        <w:rPr>
          <w:rFonts w:hint="eastAsia" w:ascii="仿宋" w:hAnsi="仿宋" w:eastAsia="仿宋" w:cs="仿宋"/>
          <w:color w:val="auto"/>
          <w:sz w:val="28"/>
          <w:szCs w:val="28"/>
        </w:rPr>
        <w:t>出具的法律文书应附仲裁</w:t>
      </w:r>
      <w:r>
        <w:rPr>
          <w:rFonts w:hint="eastAsia" w:ascii="仿宋" w:hAnsi="仿宋" w:eastAsia="仿宋" w:cs="仿宋"/>
          <w:color w:val="auto"/>
          <w:sz w:val="28"/>
          <w:szCs w:val="28"/>
          <w:lang w:val="en-US" w:eastAsia="zh-CN"/>
        </w:rPr>
        <w:t>机构</w:t>
      </w:r>
      <w:r>
        <w:rPr>
          <w:rFonts w:hint="eastAsia" w:ascii="仿宋" w:hAnsi="仿宋" w:eastAsia="仿宋" w:cs="仿宋"/>
          <w:color w:val="auto"/>
          <w:sz w:val="28"/>
          <w:szCs w:val="28"/>
        </w:rPr>
        <w:t>关于法律文书已经生效的函件或双方当事人已签收的送达回执；行政机关出具的行政法律文书应附当事人已签收的送达回执或其他已生效证明。</w:t>
      </w:r>
      <w:r>
        <w:rPr>
          <w:rFonts w:hint="eastAsia" w:ascii="仿宋" w:hAnsi="仿宋" w:eastAsia="仿宋" w:cs="仿宋"/>
          <w:b/>
          <w:bCs/>
          <w:color w:val="auto"/>
          <w:sz w:val="28"/>
          <w:szCs w:val="28"/>
        </w:rPr>
        <w:t>如已就相关法律文书向人民法院申请强制执行，已经终结该次执行</w:t>
      </w:r>
      <w:r>
        <w:rPr>
          <w:rFonts w:hint="eastAsia" w:ascii="仿宋" w:hAnsi="仿宋" w:eastAsia="仿宋" w:cs="仿宋"/>
          <w:b/>
          <w:bCs/>
          <w:color w:val="auto"/>
          <w:sz w:val="28"/>
          <w:szCs w:val="28"/>
          <w:lang w:val="en-US" w:eastAsia="zh-CN"/>
        </w:rPr>
        <w:t>程序</w:t>
      </w:r>
      <w:r>
        <w:rPr>
          <w:rFonts w:hint="eastAsia" w:ascii="仿宋" w:hAnsi="仿宋" w:eastAsia="仿宋" w:cs="仿宋"/>
          <w:b/>
          <w:bCs/>
          <w:color w:val="auto"/>
          <w:sz w:val="28"/>
          <w:szCs w:val="28"/>
        </w:rPr>
        <w:t>的，应提交执行立案通知书及终结本次执行裁定书等相关文件。</w:t>
      </w:r>
    </w:p>
    <w:p w14:paraId="02C8987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申报人在诉讼或仲裁程序中已申请财产保全的，须提交人民法院作出的保全裁定书等相关文件。</w:t>
      </w:r>
    </w:p>
    <w:p w14:paraId="02DEC41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债权如已被部分清偿的，申报人须如实向管理人说明已清偿情况，并提供偿债凭证、执行裁定等。</w:t>
      </w:r>
    </w:p>
    <w:p w14:paraId="0EDF80B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债权涉及利息的，根据《中华人民共和国企业破产法》第四十六条第二款之规定，应自人民法院裁定受理</w:t>
      </w:r>
      <w:r>
        <w:rPr>
          <w:rFonts w:hint="eastAsia" w:ascii="仿宋" w:hAnsi="仿宋" w:eastAsia="仿宋" w:cs="仿宋"/>
          <w:color w:val="auto"/>
          <w:sz w:val="28"/>
          <w:szCs w:val="28"/>
          <w:lang w:val="en-US" w:eastAsia="zh-CN"/>
        </w:rPr>
        <w:t>乐学</w:t>
      </w:r>
      <w:r>
        <w:rPr>
          <w:rFonts w:hint="eastAsia" w:ascii="仿宋" w:hAnsi="仿宋" w:eastAsia="仿宋" w:cs="仿宋"/>
          <w:color w:val="auto"/>
          <w:sz w:val="28"/>
          <w:szCs w:val="28"/>
        </w:rPr>
        <w:t>公司破产清算案之</w:t>
      </w:r>
      <w:r>
        <w:rPr>
          <w:rFonts w:hint="eastAsia" w:ascii="仿宋" w:hAnsi="仿宋" w:eastAsia="仿宋" w:cs="仿宋"/>
          <w:color w:val="auto"/>
          <w:sz w:val="28"/>
          <w:szCs w:val="28"/>
          <w:highlight w:val="none"/>
        </w:rPr>
        <w:t>日起停止计息</w:t>
      </w:r>
      <w:r>
        <w:rPr>
          <w:rFonts w:hint="eastAsia" w:ascii="仿宋" w:hAnsi="仿宋" w:eastAsia="仿宋" w:cs="仿宋"/>
          <w:color w:val="auto"/>
          <w:sz w:val="28"/>
          <w:szCs w:val="28"/>
          <w:highlight w:val="none"/>
          <w:lang w:eastAsia="zh-CN"/>
        </w:rPr>
        <w:t>，</w:t>
      </w:r>
      <w:r>
        <w:rPr>
          <w:rFonts w:hint="eastAsia" w:ascii="仿宋" w:hAnsi="仿宋" w:eastAsia="仿宋" w:cs="仿宋"/>
          <w:b/>
          <w:color w:val="auto"/>
          <w:sz w:val="28"/>
          <w:szCs w:val="28"/>
          <w:highlight w:val="none"/>
          <w:u w:val="single"/>
        </w:rPr>
        <w:t>即利息计算至</w:t>
      </w:r>
      <w:r>
        <w:rPr>
          <w:rFonts w:hint="eastAsia" w:ascii="仿宋" w:hAnsi="仿宋" w:eastAsia="仿宋" w:cs="仿宋"/>
          <w:b/>
          <w:color w:val="auto"/>
          <w:sz w:val="28"/>
          <w:szCs w:val="28"/>
          <w:highlight w:val="none"/>
          <w:u w:val="single"/>
          <w:lang w:val="en-US" w:eastAsia="zh-CN"/>
        </w:rPr>
        <w:t>2026</w:t>
      </w:r>
      <w:r>
        <w:rPr>
          <w:rFonts w:hint="eastAsia" w:ascii="仿宋" w:hAnsi="仿宋" w:eastAsia="仿宋" w:cs="仿宋"/>
          <w:b/>
          <w:color w:val="auto"/>
          <w:sz w:val="28"/>
          <w:szCs w:val="28"/>
          <w:highlight w:val="none"/>
          <w:u w:val="single"/>
        </w:rPr>
        <w:t>年</w:t>
      </w:r>
      <w:r>
        <w:rPr>
          <w:rFonts w:hint="eastAsia" w:ascii="仿宋" w:hAnsi="仿宋" w:eastAsia="仿宋" w:cs="仿宋"/>
          <w:b/>
          <w:color w:val="auto"/>
          <w:sz w:val="28"/>
          <w:szCs w:val="28"/>
          <w:highlight w:val="none"/>
          <w:u w:val="single"/>
          <w:lang w:val="en-US" w:eastAsia="zh-CN"/>
        </w:rPr>
        <w:t>4月23</w:t>
      </w:r>
      <w:r>
        <w:rPr>
          <w:rFonts w:hint="eastAsia" w:ascii="仿宋" w:hAnsi="仿宋" w:eastAsia="仿宋" w:cs="仿宋"/>
          <w:b/>
          <w:color w:val="auto"/>
          <w:sz w:val="28"/>
          <w:szCs w:val="28"/>
          <w:highlight w:val="none"/>
          <w:u w:val="single"/>
        </w:rPr>
        <w:t>日</w:t>
      </w:r>
      <w:r>
        <w:rPr>
          <w:rFonts w:hint="eastAsia" w:ascii="仿宋" w:hAnsi="仿宋" w:eastAsia="仿宋" w:cs="仿宋"/>
          <w:b/>
          <w:color w:val="auto"/>
          <w:sz w:val="28"/>
          <w:szCs w:val="28"/>
          <w:highlight w:val="none"/>
          <w:u w:val="single"/>
          <w:lang w:eastAsia="zh-CN"/>
        </w:rPr>
        <w:t>（</w:t>
      </w:r>
      <w:r>
        <w:rPr>
          <w:rFonts w:hint="eastAsia" w:ascii="仿宋" w:hAnsi="仿宋" w:eastAsia="仿宋" w:cs="仿宋"/>
          <w:b/>
          <w:color w:val="auto"/>
          <w:sz w:val="28"/>
          <w:szCs w:val="28"/>
          <w:highlight w:val="none"/>
          <w:u w:val="single"/>
          <w:lang w:val="en-US" w:eastAsia="zh-CN"/>
        </w:rPr>
        <w:t>含当日</w:t>
      </w:r>
      <w:r>
        <w:rPr>
          <w:rFonts w:hint="eastAsia" w:ascii="仿宋" w:hAnsi="仿宋" w:eastAsia="仿宋" w:cs="仿宋"/>
          <w:b/>
          <w:color w:val="auto"/>
          <w:sz w:val="28"/>
          <w:szCs w:val="28"/>
          <w:highlight w:val="none"/>
          <w:u w:val="single"/>
          <w:lang w:eastAsia="zh-CN"/>
        </w:rPr>
        <w:t>）</w:t>
      </w:r>
      <w:r>
        <w:rPr>
          <w:rFonts w:hint="eastAsia" w:ascii="仿宋" w:hAnsi="仿宋" w:eastAsia="仿宋" w:cs="仿宋"/>
          <w:color w:val="auto"/>
          <w:sz w:val="28"/>
          <w:szCs w:val="28"/>
          <w:highlight w:val="none"/>
        </w:rPr>
        <w:t>。申报人应提供</w:t>
      </w:r>
      <w:r>
        <w:rPr>
          <w:rFonts w:hint="eastAsia" w:ascii="仿宋" w:hAnsi="仿宋" w:eastAsia="仿宋" w:cs="仿宋"/>
          <w:color w:val="auto"/>
          <w:sz w:val="28"/>
          <w:szCs w:val="28"/>
        </w:rPr>
        <w:t>利息计算表，说明利息的计算依据、计算方法和计算结果。</w:t>
      </w:r>
    </w:p>
    <w:p w14:paraId="6ED5A2F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与申报的债权相关的其他证据材料。</w:t>
      </w:r>
    </w:p>
    <w:p w14:paraId="367A3088">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（四）其他材料</w:t>
      </w:r>
    </w:p>
    <w:p w14:paraId="044A1E5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1.</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承诺</w:t>
      </w:r>
      <w:r>
        <w:rPr>
          <w:rFonts w:hint="eastAsia" w:ascii="仿宋" w:hAnsi="仿宋" w:eastAsia="仿宋" w:cs="仿宋"/>
          <w:bCs/>
          <w:color w:val="auto"/>
          <w:sz w:val="28"/>
          <w:szCs w:val="28"/>
        </w:rPr>
        <w:t>函》：申报人须</w:t>
      </w:r>
      <w:r>
        <w:rPr>
          <w:rFonts w:hint="eastAsia" w:ascii="仿宋" w:hAnsi="仿宋" w:eastAsia="仿宋" w:cs="仿宋"/>
          <w:bCs/>
          <w:color w:val="auto"/>
          <w:sz w:val="28"/>
          <w:szCs w:val="28"/>
          <w:lang w:val="en-US" w:eastAsia="zh-CN"/>
        </w:rPr>
        <w:t>承诺</w:t>
      </w:r>
      <w:r>
        <w:rPr>
          <w:rFonts w:hint="eastAsia" w:ascii="仿宋" w:hAnsi="仿宋" w:eastAsia="仿宋" w:cs="仿宋"/>
          <w:bCs/>
          <w:color w:val="auto"/>
          <w:sz w:val="28"/>
          <w:szCs w:val="28"/>
        </w:rPr>
        <w:t>所申报债权的</w:t>
      </w:r>
      <w:r>
        <w:rPr>
          <w:rFonts w:hint="eastAsia" w:ascii="仿宋" w:hAnsi="仿宋" w:eastAsia="仿宋" w:cs="仿宋"/>
          <w:sz w:val="28"/>
          <w:szCs w:val="28"/>
        </w:rPr>
        <w:t>真实、有效</w:t>
      </w:r>
      <w:r>
        <w:rPr>
          <w:rFonts w:hint="eastAsia" w:ascii="仿宋" w:hAnsi="仿宋" w:eastAsia="仿宋" w:cs="仿宋"/>
          <w:bCs/>
          <w:color w:val="auto"/>
          <w:sz w:val="28"/>
          <w:szCs w:val="28"/>
        </w:rPr>
        <w:t>并签字/盖章。</w:t>
      </w:r>
    </w:p>
    <w:p w14:paraId="0797C5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2.</w:t>
      </w:r>
      <w:r>
        <w:rPr>
          <w:rFonts w:hint="eastAsia" w:ascii="仿宋" w:hAnsi="仿宋" w:eastAsia="仿宋" w:cs="仿宋"/>
          <w:bCs/>
          <w:color w:val="auto"/>
          <w:sz w:val="28"/>
          <w:szCs w:val="28"/>
        </w:rPr>
        <w:t>《关于收款账户、送达地址及表决方式的确认函》：申报人</w:t>
      </w:r>
      <w:r>
        <w:rPr>
          <w:rFonts w:hint="eastAsia" w:ascii="仿宋" w:hAnsi="仿宋" w:eastAsia="仿宋" w:cs="仿宋"/>
          <w:bCs/>
          <w:color w:val="auto"/>
          <w:sz w:val="28"/>
          <w:szCs w:val="28"/>
          <w:lang w:val="en-US" w:eastAsia="zh-CN"/>
        </w:rPr>
        <w:t>须保证在《债权申报登记表》中</w:t>
      </w:r>
      <w:r>
        <w:rPr>
          <w:rFonts w:hint="eastAsia" w:ascii="仿宋" w:hAnsi="仿宋" w:eastAsia="仿宋" w:cs="仿宋"/>
          <w:bCs/>
          <w:color w:val="auto"/>
          <w:sz w:val="28"/>
          <w:szCs w:val="28"/>
        </w:rPr>
        <w:t>填写</w:t>
      </w:r>
      <w:r>
        <w:rPr>
          <w:rFonts w:hint="eastAsia" w:ascii="仿宋" w:hAnsi="仿宋" w:eastAsia="仿宋" w:cs="仿宋"/>
          <w:bCs/>
          <w:color w:val="auto"/>
          <w:sz w:val="28"/>
          <w:szCs w:val="28"/>
          <w:lang w:eastAsia="zh-CN"/>
        </w:rPr>
        <w:t>的</w:t>
      </w:r>
      <w:r>
        <w:rPr>
          <w:rFonts w:hint="eastAsia" w:ascii="仿宋" w:hAnsi="仿宋" w:eastAsia="仿宋" w:cs="仿宋"/>
          <w:bCs/>
          <w:color w:val="auto"/>
          <w:sz w:val="28"/>
          <w:szCs w:val="28"/>
        </w:rPr>
        <w:t>收款账户、地址及联系方式</w:t>
      </w:r>
      <w:r>
        <w:rPr>
          <w:rFonts w:hint="eastAsia" w:ascii="仿宋" w:hAnsi="仿宋" w:eastAsia="仿宋" w:cs="仿宋"/>
          <w:bCs/>
          <w:color w:val="auto"/>
          <w:sz w:val="28"/>
          <w:szCs w:val="28"/>
          <w:lang w:val="en-US" w:eastAsia="zh-CN"/>
        </w:rPr>
        <w:t>正确</w:t>
      </w:r>
      <w:r>
        <w:rPr>
          <w:rFonts w:hint="eastAsia" w:ascii="仿宋" w:hAnsi="仿宋" w:eastAsia="仿宋" w:cs="仿宋"/>
          <w:bCs/>
          <w:color w:val="auto"/>
          <w:sz w:val="28"/>
          <w:szCs w:val="28"/>
        </w:rPr>
        <w:t>并签字/盖章</w:t>
      </w:r>
      <w:r>
        <w:rPr>
          <w:rFonts w:hint="eastAsia" w:ascii="仿宋" w:hAnsi="仿宋" w:eastAsia="仿宋" w:cs="仿宋"/>
          <w:bCs/>
          <w:color w:val="auto"/>
          <w:sz w:val="28"/>
          <w:szCs w:val="28"/>
          <w:lang w:val="en-US" w:eastAsia="zh-CN"/>
        </w:rPr>
        <w:t>。</w:t>
      </w:r>
    </w:p>
    <w:p w14:paraId="22C63E23">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（五）申报人提交材料的要求</w:t>
      </w:r>
    </w:p>
    <w:p w14:paraId="27F8CA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1.</w:t>
      </w:r>
      <w:r>
        <w:rPr>
          <w:rFonts w:hint="eastAsia" w:ascii="仿宋" w:hAnsi="仿宋" w:eastAsia="仿宋" w:cs="仿宋"/>
          <w:bCs/>
          <w:color w:val="auto"/>
          <w:sz w:val="28"/>
          <w:szCs w:val="28"/>
        </w:rPr>
        <w:t>《</w:t>
      </w:r>
      <w:r>
        <w:rPr>
          <w:rFonts w:hint="eastAsia" w:ascii="仿宋" w:hAnsi="仿宋" w:eastAsia="仿宋" w:cs="仿宋"/>
          <w:color w:val="auto"/>
          <w:sz w:val="28"/>
          <w:szCs w:val="28"/>
        </w:rPr>
        <w:t>债权申报</w:t>
      </w:r>
      <w:r>
        <w:rPr>
          <w:rFonts w:hint="eastAsia" w:ascii="仿宋" w:hAnsi="仿宋" w:eastAsia="仿宋" w:cs="仿宋"/>
          <w:color w:val="auto"/>
          <w:sz w:val="28"/>
          <w:szCs w:val="28"/>
          <w:lang w:val="en-US" w:eastAsia="zh-CN"/>
        </w:rPr>
        <w:t>材料清单</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债权申报证据清单</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须一式两份，其中一份提交管理人，另一份经管理人签字确认后交由申报人留存；其他材料一式一份，提交管理人。</w:t>
      </w:r>
    </w:p>
    <w:p w14:paraId="4500280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2.</w:t>
      </w:r>
      <w:r>
        <w:rPr>
          <w:rFonts w:hint="eastAsia" w:ascii="仿宋" w:hAnsi="仿宋" w:eastAsia="仿宋" w:cs="仿宋"/>
          <w:bCs/>
          <w:color w:val="auto"/>
          <w:sz w:val="28"/>
          <w:szCs w:val="28"/>
        </w:rPr>
        <w:t>申报人申报多笔债权的，除申报人主体资料、《关于收款账户、送达地址及表决方式的确认函》</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承诺函</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外，其他债权申报材料应根据不同债权分别提交。</w:t>
      </w:r>
    </w:p>
    <w:p w14:paraId="3CD90437">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 w:hAnsi="仿宋" w:eastAsia="仿宋" w:cs="仿宋"/>
          <w:b/>
          <w:bCs w:val="0"/>
          <w:color w:val="auto"/>
          <w:sz w:val="28"/>
          <w:szCs w:val="28"/>
          <w:lang w:val="en-US" w:eastAsia="zh-CN"/>
        </w:rPr>
      </w:pPr>
      <w:r>
        <w:rPr>
          <w:rFonts w:hint="eastAsia" w:ascii="仿宋" w:hAnsi="仿宋" w:eastAsia="仿宋" w:cs="仿宋"/>
          <w:b/>
          <w:bCs w:val="0"/>
          <w:color w:val="auto"/>
          <w:sz w:val="28"/>
          <w:szCs w:val="28"/>
          <w:lang w:eastAsia="zh-CN"/>
        </w:rPr>
        <w:t>3.</w:t>
      </w:r>
      <w:r>
        <w:rPr>
          <w:rFonts w:hint="eastAsia" w:ascii="仿宋" w:hAnsi="仿宋" w:eastAsia="仿宋" w:cs="仿宋"/>
          <w:b/>
          <w:bCs w:val="0"/>
          <w:color w:val="auto"/>
          <w:sz w:val="28"/>
          <w:szCs w:val="28"/>
        </w:rPr>
        <w:t>必须提交原件的材料：《债权申报</w:t>
      </w:r>
      <w:r>
        <w:rPr>
          <w:rFonts w:hint="eastAsia" w:ascii="仿宋" w:hAnsi="仿宋" w:eastAsia="仿宋" w:cs="仿宋"/>
          <w:b/>
          <w:bCs w:val="0"/>
          <w:color w:val="auto"/>
          <w:sz w:val="28"/>
          <w:szCs w:val="28"/>
          <w:lang w:val="en-US" w:eastAsia="zh-CN"/>
        </w:rPr>
        <w:t>材料清单</w:t>
      </w:r>
      <w:r>
        <w:rPr>
          <w:rFonts w:hint="eastAsia" w:ascii="仿宋" w:hAnsi="仿宋" w:eastAsia="仿宋" w:cs="仿宋"/>
          <w:b/>
          <w:bCs w:val="0"/>
          <w:color w:val="auto"/>
          <w:sz w:val="28"/>
          <w:szCs w:val="28"/>
        </w:rPr>
        <w:t>》</w:t>
      </w:r>
      <w:r>
        <w:rPr>
          <w:rFonts w:hint="eastAsia" w:ascii="仿宋" w:hAnsi="仿宋" w:eastAsia="仿宋" w:cs="仿宋"/>
          <w:b/>
          <w:bCs w:val="0"/>
          <w:color w:val="auto"/>
          <w:sz w:val="28"/>
          <w:szCs w:val="28"/>
          <w:lang w:eastAsia="zh-CN"/>
        </w:rPr>
        <w:t>《</w:t>
      </w:r>
      <w:r>
        <w:rPr>
          <w:rFonts w:hint="eastAsia" w:ascii="仿宋" w:hAnsi="仿宋" w:eastAsia="仿宋" w:cs="仿宋"/>
          <w:b/>
          <w:bCs w:val="0"/>
          <w:color w:val="auto"/>
          <w:sz w:val="28"/>
          <w:szCs w:val="28"/>
          <w:lang w:val="en-US" w:eastAsia="zh-CN"/>
        </w:rPr>
        <w:t>债权申报证据清单</w:t>
      </w:r>
      <w:r>
        <w:rPr>
          <w:rFonts w:hint="eastAsia" w:ascii="仿宋" w:hAnsi="仿宋" w:eastAsia="仿宋" w:cs="仿宋"/>
          <w:b/>
          <w:bCs w:val="0"/>
          <w:color w:val="auto"/>
          <w:sz w:val="28"/>
          <w:szCs w:val="28"/>
          <w:lang w:eastAsia="zh-CN"/>
        </w:rPr>
        <w:t>》《</w:t>
      </w:r>
      <w:r>
        <w:rPr>
          <w:rFonts w:hint="eastAsia" w:ascii="仿宋" w:hAnsi="仿宋" w:eastAsia="仿宋" w:cs="仿宋"/>
          <w:b/>
          <w:bCs w:val="0"/>
          <w:color w:val="auto"/>
          <w:sz w:val="28"/>
          <w:szCs w:val="28"/>
          <w:lang w:val="en-US" w:eastAsia="zh-CN"/>
        </w:rPr>
        <w:t>债权申报登记表</w:t>
      </w:r>
      <w:r>
        <w:rPr>
          <w:rFonts w:hint="eastAsia" w:ascii="仿宋" w:hAnsi="仿宋" w:eastAsia="仿宋" w:cs="仿宋"/>
          <w:b/>
          <w:bCs w:val="0"/>
          <w:color w:val="auto"/>
          <w:sz w:val="28"/>
          <w:szCs w:val="28"/>
          <w:lang w:eastAsia="zh-CN"/>
        </w:rPr>
        <w:t>》</w:t>
      </w:r>
      <w:r>
        <w:rPr>
          <w:rFonts w:hint="eastAsia" w:ascii="仿宋" w:hAnsi="仿宋" w:eastAsia="仿宋" w:cs="仿宋"/>
          <w:b/>
          <w:bCs w:val="0"/>
          <w:color w:val="auto"/>
          <w:sz w:val="28"/>
          <w:szCs w:val="28"/>
        </w:rPr>
        <w:t>《债权申报</w:t>
      </w:r>
      <w:r>
        <w:rPr>
          <w:rFonts w:hint="eastAsia" w:ascii="仿宋" w:hAnsi="仿宋" w:eastAsia="仿宋" w:cs="仿宋"/>
          <w:b/>
          <w:bCs w:val="0"/>
          <w:color w:val="auto"/>
          <w:sz w:val="28"/>
          <w:szCs w:val="28"/>
          <w:lang w:val="en-US" w:eastAsia="zh-CN"/>
        </w:rPr>
        <w:t>书</w:t>
      </w:r>
      <w:r>
        <w:rPr>
          <w:rFonts w:hint="eastAsia" w:ascii="仿宋" w:hAnsi="仿宋" w:eastAsia="仿宋" w:cs="仿宋"/>
          <w:b/>
          <w:bCs w:val="0"/>
          <w:color w:val="auto"/>
          <w:sz w:val="28"/>
          <w:szCs w:val="28"/>
        </w:rPr>
        <w:t>》</w:t>
      </w:r>
      <w:r>
        <w:rPr>
          <w:rFonts w:hint="eastAsia" w:ascii="仿宋" w:hAnsi="仿宋" w:eastAsia="仿宋" w:cs="仿宋"/>
          <w:b/>
          <w:bCs w:val="0"/>
          <w:color w:val="auto"/>
          <w:sz w:val="28"/>
          <w:szCs w:val="28"/>
          <w:lang w:eastAsia="zh-CN"/>
        </w:rPr>
        <w:t>《</w:t>
      </w:r>
      <w:r>
        <w:rPr>
          <w:rFonts w:hint="eastAsia" w:ascii="仿宋" w:hAnsi="仿宋" w:eastAsia="仿宋" w:cs="仿宋"/>
          <w:b/>
          <w:bCs w:val="0"/>
          <w:color w:val="auto"/>
          <w:sz w:val="28"/>
          <w:szCs w:val="28"/>
        </w:rPr>
        <w:t>法定代表人身份证明书</w:t>
      </w:r>
      <w:r>
        <w:rPr>
          <w:rFonts w:hint="eastAsia" w:ascii="仿宋" w:hAnsi="仿宋" w:eastAsia="仿宋" w:cs="仿宋"/>
          <w:b/>
          <w:bCs w:val="0"/>
          <w:color w:val="auto"/>
          <w:sz w:val="28"/>
          <w:szCs w:val="28"/>
          <w:lang w:eastAsia="zh-CN"/>
        </w:rPr>
        <w:t>》《</w:t>
      </w:r>
      <w:r>
        <w:rPr>
          <w:rFonts w:hint="eastAsia" w:ascii="仿宋" w:hAnsi="仿宋" w:eastAsia="仿宋" w:cs="仿宋"/>
          <w:b/>
          <w:bCs w:val="0"/>
          <w:color w:val="auto"/>
          <w:sz w:val="28"/>
          <w:szCs w:val="28"/>
        </w:rPr>
        <w:t>授权委托书</w:t>
      </w:r>
      <w:r>
        <w:rPr>
          <w:rFonts w:hint="eastAsia" w:ascii="仿宋" w:hAnsi="仿宋" w:eastAsia="仿宋" w:cs="仿宋"/>
          <w:b/>
          <w:bCs w:val="0"/>
          <w:color w:val="auto"/>
          <w:sz w:val="28"/>
          <w:szCs w:val="28"/>
          <w:lang w:eastAsia="zh-CN"/>
        </w:rPr>
        <w:t>》</w:t>
      </w:r>
      <w:r>
        <w:rPr>
          <w:rFonts w:hint="eastAsia" w:ascii="仿宋" w:hAnsi="仿宋" w:eastAsia="仿宋" w:cs="仿宋"/>
          <w:b/>
          <w:bCs w:val="0"/>
          <w:color w:val="auto"/>
          <w:sz w:val="28"/>
          <w:szCs w:val="28"/>
        </w:rPr>
        <w:t>《</w:t>
      </w:r>
      <w:r>
        <w:rPr>
          <w:rFonts w:hint="eastAsia" w:ascii="仿宋" w:hAnsi="仿宋" w:eastAsia="仿宋" w:cs="仿宋"/>
          <w:b/>
          <w:bCs w:val="0"/>
          <w:color w:val="auto"/>
          <w:sz w:val="28"/>
          <w:szCs w:val="28"/>
          <w:lang w:val="en-US" w:eastAsia="zh-CN"/>
        </w:rPr>
        <w:t>承诺</w:t>
      </w:r>
      <w:r>
        <w:rPr>
          <w:rFonts w:hint="eastAsia" w:ascii="仿宋" w:hAnsi="仿宋" w:eastAsia="仿宋" w:cs="仿宋"/>
          <w:b/>
          <w:bCs w:val="0"/>
          <w:color w:val="auto"/>
          <w:sz w:val="28"/>
          <w:szCs w:val="28"/>
        </w:rPr>
        <w:t>函》《关于收款账户、送达地址及表决方式的确认函》</w:t>
      </w:r>
      <w:r>
        <w:rPr>
          <w:rFonts w:hint="eastAsia" w:ascii="仿宋" w:hAnsi="仿宋" w:eastAsia="仿宋" w:cs="仿宋"/>
          <w:b/>
          <w:bCs w:val="0"/>
          <w:color w:val="auto"/>
          <w:sz w:val="28"/>
          <w:szCs w:val="28"/>
          <w:lang w:eastAsia="zh-CN"/>
        </w:rPr>
        <w:t>，</w:t>
      </w:r>
      <w:r>
        <w:rPr>
          <w:rFonts w:hint="eastAsia" w:ascii="仿宋" w:hAnsi="仿宋" w:eastAsia="仿宋" w:cs="仿宋"/>
          <w:b/>
          <w:bCs w:val="0"/>
          <w:color w:val="auto"/>
          <w:sz w:val="28"/>
          <w:szCs w:val="28"/>
          <w:lang w:val="en-US" w:eastAsia="zh-CN"/>
        </w:rPr>
        <w:t>此外，受托人为律师的还需提交律师事务所《所函》。</w:t>
      </w:r>
    </w:p>
    <w:p w14:paraId="2EBD36B9">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rPr>
        <w:t>其他材料提交复印件，但须同时提交原件供管理人核对（原件经核对后予以返还）。复印件须由申报人盖章或签字确认。</w:t>
      </w:r>
    </w:p>
    <w:p w14:paraId="216041A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4.</w:t>
      </w:r>
      <w:r>
        <w:rPr>
          <w:rFonts w:hint="eastAsia" w:ascii="仿宋" w:hAnsi="仿宋" w:eastAsia="仿宋" w:cs="仿宋"/>
          <w:bCs/>
          <w:color w:val="auto"/>
          <w:sz w:val="28"/>
          <w:szCs w:val="28"/>
        </w:rPr>
        <w:t>如申报人为境外法人或注册地为我国台湾、香港、澳门的法人，申报人提交的所有资料均须经过有公证资质的公证机构公证和认证，并附中文译本；如申报人为外国国籍或户籍为我国台湾、香港、澳门的自然人，且委托他人代为申报的，其所提交的《授权委托书》须经有公证资质的公证机构公证，或由申报人与受托人前往管理人处当面签订《授权委托书》。</w:t>
      </w:r>
    </w:p>
    <w:p w14:paraId="642E9E5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5.</w:t>
      </w:r>
      <w:r>
        <w:rPr>
          <w:rFonts w:hint="eastAsia" w:ascii="仿宋" w:hAnsi="仿宋" w:eastAsia="仿宋" w:cs="仿宋"/>
          <w:bCs/>
          <w:color w:val="auto"/>
          <w:sz w:val="28"/>
          <w:szCs w:val="28"/>
        </w:rPr>
        <w:t>如因债权申报资料不全，管理人当场或事后通知申报人补充提交相关资料的，申报人应在接到管理人通知后于管理人指定期限内补充提交；因客观原因无法在此期限内提交的，应在期满前与管理人协商延长补交期限。否则，因申报人提交材料不全导致债权未被确认的风险由申报人自行承担。</w:t>
      </w:r>
    </w:p>
    <w:p w14:paraId="1C5FDCF1">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三、债权申报时间及地址</w:t>
      </w:r>
    </w:p>
    <w:p w14:paraId="1E548FE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C00000"/>
          <w:sz w:val="28"/>
          <w:szCs w:val="28"/>
          <w:highlight w:val="none"/>
        </w:rPr>
      </w:pPr>
      <w:r>
        <w:rPr>
          <w:rFonts w:hint="eastAsia" w:ascii="仿宋" w:hAnsi="仿宋" w:eastAsia="仿宋" w:cs="仿宋"/>
          <w:bCs/>
          <w:color w:val="auto"/>
          <w:sz w:val="28"/>
          <w:szCs w:val="28"/>
          <w:highlight w:val="none"/>
          <w:lang w:eastAsia="zh-CN"/>
        </w:rPr>
        <w:t>1.</w:t>
      </w:r>
      <w:r>
        <w:rPr>
          <w:rFonts w:hint="eastAsia" w:ascii="仿宋" w:hAnsi="仿宋" w:eastAsia="仿宋" w:cs="仿宋"/>
          <w:bCs/>
          <w:color w:val="auto"/>
          <w:sz w:val="28"/>
          <w:szCs w:val="28"/>
          <w:highlight w:val="none"/>
        </w:rPr>
        <w:t>申报时间：人民法院确定的债权申报期限的截止日为</w:t>
      </w:r>
      <w:r>
        <w:rPr>
          <w:rFonts w:hint="eastAsia" w:ascii="仿宋" w:hAnsi="仿宋" w:eastAsia="仿宋" w:cs="仿宋"/>
          <w:b/>
          <w:bCs w:val="0"/>
          <w:color w:val="auto"/>
          <w:sz w:val="28"/>
          <w:szCs w:val="28"/>
          <w:highlight w:val="none"/>
          <w:lang w:eastAsia="zh-CN"/>
        </w:rPr>
        <w:t>2026年</w:t>
      </w:r>
      <w:r>
        <w:rPr>
          <w:rFonts w:hint="eastAsia" w:ascii="仿宋" w:hAnsi="仿宋" w:eastAsia="仿宋" w:cs="仿宋"/>
          <w:b/>
          <w:bCs w:val="0"/>
          <w:color w:val="auto"/>
          <w:sz w:val="28"/>
          <w:szCs w:val="28"/>
          <w:highlight w:val="none"/>
          <w:lang w:val="en-US" w:eastAsia="zh-CN"/>
        </w:rPr>
        <w:t>7</w:t>
      </w:r>
      <w:r>
        <w:rPr>
          <w:rFonts w:hint="eastAsia" w:ascii="仿宋" w:hAnsi="仿宋" w:eastAsia="仿宋" w:cs="仿宋"/>
          <w:b/>
          <w:bCs w:val="0"/>
          <w:color w:val="auto"/>
          <w:sz w:val="28"/>
          <w:szCs w:val="28"/>
          <w:highlight w:val="none"/>
          <w:lang w:eastAsia="zh-CN"/>
        </w:rPr>
        <w:t>月</w:t>
      </w:r>
      <w:r>
        <w:rPr>
          <w:rFonts w:hint="eastAsia" w:ascii="仿宋" w:hAnsi="仿宋" w:eastAsia="仿宋" w:cs="仿宋"/>
          <w:b/>
          <w:bCs w:val="0"/>
          <w:color w:val="auto"/>
          <w:sz w:val="28"/>
          <w:szCs w:val="28"/>
          <w:highlight w:val="none"/>
          <w:lang w:val="en-US" w:eastAsia="zh-CN"/>
        </w:rPr>
        <w:t>17</w:t>
      </w:r>
      <w:r>
        <w:rPr>
          <w:rFonts w:hint="eastAsia" w:ascii="仿宋" w:hAnsi="仿宋" w:eastAsia="仿宋" w:cs="仿宋"/>
          <w:b/>
          <w:bCs w:val="0"/>
          <w:color w:val="auto"/>
          <w:sz w:val="28"/>
          <w:szCs w:val="28"/>
          <w:highlight w:val="none"/>
          <w:lang w:eastAsia="zh-CN"/>
        </w:rPr>
        <w:t>日</w:t>
      </w:r>
      <w:r>
        <w:rPr>
          <w:rFonts w:hint="eastAsia" w:ascii="仿宋" w:hAnsi="仿宋" w:eastAsia="仿宋" w:cs="仿宋"/>
          <w:bCs/>
          <w:color w:val="auto"/>
          <w:sz w:val="28"/>
          <w:szCs w:val="28"/>
          <w:highlight w:val="none"/>
        </w:rPr>
        <w:t>。</w:t>
      </w:r>
    </w:p>
    <w:p w14:paraId="1443A55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根据《中华人民共和国企业破产法》的规定：债权人应当在人民法院确定的债权申报期限内向管理人申报债权。未在规定期限内申报债权的，可以在破产财产最后分配前补充申报；但是，此前已进行的分配，不再对其补充分配。未依法申报债权的，不得在破产程序中行使权利。</w:t>
      </w:r>
    </w:p>
    <w:p w14:paraId="498C34F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2.</w:t>
      </w:r>
      <w:r>
        <w:rPr>
          <w:rFonts w:hint="eastAsia" w:ascii="仿宋" w:hAnsi="仿宋" w:eastAsia="仿宋" w:cs="仿宋"/>
          <w:bCs/>
          <w:color w:val="auto"/>
          <w:sz w:val="28"/>
          <w:szCs w:val="28"/>
        </w:rPr>
        <w:t>申报地址：</w:t>
      </w:r>
    </w:p>
    <w:p w14:paraId="7FB9674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联</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系</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人：</w:t>
      </w:r>
      <w:r>
        <w:rPr>
          <w:rFonts w:hint="eastAsia" w:ascii="仿宋" w:hAnsi="仿宋" w:eastAsia="仿宋" w:cs="仿宋"/>
          <w:bCs/>
          <w:color w:val="auto"/>
          <w:sz w:val="28"/>
          <w:szCs w:val="28"/>
          <w:lang w:val="en-US" w:eastAsia="zh-CN"/>
        </w:rPr>
        <w:t>赵继平、陈仕松</w:t>
      </w:r>
    </w:p>
    <w:p w14:paraId="2B7F8B4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联系电话：</w:t>
      </w:r>
      <w:r>
        <w:rPr>
          <w:rFonts w:hint="eastAsia" w:ascii="仿宋" w:hAnsi="仿宋" w:eastAsia="仿宋"/>
          <w:bCs/>
          <w:sz w:val="28"/>
          <w:szCs w:val="28"/>
        </w:rPr>
        <w:t>1375101699</w:t>
      </w:r>
      <w:r>
        <w:rPr>
          <w:rFonts w:hint="eastAsia" w:ascii="仿宋" w:hAnsi="仿宋" w:eastAsia="仿宋"/>
          <w:bCs/>
          <w:sz w:val="28"/>
          <w:szCs w:val="28"/>
          <w:lang w:eastAsia="zh-CN"/>
        </w:rPr>
        <w:t>1.</w:t>
      </w:r>
      <w:r>
        <w:rPr>
          <w:rFonts w:hint="eastAsia" w:ascii="仿宋" w:hAnsi="仿宋" w:eastAsia="仿宋"/>
          <w:b w:val="0"/>
          <w:bCs/>
          <w:sz w:val="28"/>
          <w:szCs w:val="28"/>
          <w:lang w:val="en-US" w:eastAsia="zh-CN"/>
        </w:rPr>
        <w:t>19121143476</w:t>
      </w:r>
    </w:p>
    <w:p w14:paraId="20995FA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邮 </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编：518048</w:t>
      </w:r>
    </w:p>
    <w:p w14:paraId="5AF5E65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地</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址：广东省深圳市</w:t>
      </w:r>
      <w:r>
        <w:rPr>
          <w:rFonts w:hint="eastAsia" w:ascii="仿宋" w:hAnsi="仿宋" w:eastAsia="仿宋" w:cs="仿宋"/>
          <w:bCs/>
          <w:color w:val="auto"/>
          <w:sz w:val="28"/>
          <w:szCs w:val="28"/>
          <w:lang w:val="en-US" w:eastAsia="zh-CN"/>
        </w:rPr>
        <w:t>福田区彩田路7006号深科技城C座9-10楼。</w:t>
      </w:r>
    </w:p>
    <w:p w14:paraId="3C15665D">
      <w:pPr>
        <w:rPr>
          <w:rFonts w:hint="eastAsia" w:ascii="仿宋" w:hAnsi="仿宋" w:eastAsia="仿宋" w:cs="仿宋"/>
          <w:b/>
          <w:color w:val="auto"/>
          <w:sz w:val="28"/>
          <w:szCs w:val="28"/>
        </w:rPr>
      </w:pPr>
      <w:r>
        <w:rPr>
          <w:rFonts w:hint="eastAsia" w:ascii="仿宋" w:hAnsi="仿宋" w:eastAsia="仿宋" w:cs="仿宋"/>
          <w:b/>
          <w:color w:val="auto"/>
          <w:sz w:val="28"/>
          <w:szCs w:val="28"/>
        </w:rPr>
        <w:br w:type="page"/>
      </w:r>
    </w:p>
    <w:p w14:paraId="58DCCF44">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四、其他事项</w:t>
      </w:r>
    </w:p>
    <w:p w14:paraId="116AB5A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管理人对债权申报材料的签收不构成对申报人的债权及其提交的文件资料真实性、合法性及关联性的确认，具体确认程序和方式按法律规定另行确定。</w:t>
      </w:r>
    </w:p>
    <w:p w14:paraId="77323A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管理人对债权申报材料的签收不构成对无效债权的重新确认，也不导致债权诉讼时效中止、中断或延长等法律后果。</w:t>
      </w:r>
    </w:p>
    <w:p w14:paraId="62D5D84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申报人提供伪造、变造等虚假证据及相关材料，或对重要事实拒绝陈述或作虚假陈述的，将依法承担法律责任；情节严重、构成犯罪者，送交法办。</w:t>
      </w:r>
    </w:p>
    <w:p w14:paraId="7B78933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申报人掌握有债务人出资人及其有关人员有效联系方式或债务人财产线索的，应以书面形式向管理人一并提交。</w:t>
      </w:r>
    </w:p>
    <w:p w14:paraId="28494AE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本须知未列明事项，按照《中华人民共和国企业破产法》等法律法规和司法解释执行。</w:t>
      </w:r>
    </w:p>
    <w:p w14:paraId="1719B82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本须知申报人签章后与债权申报材料一并提交管理人。</w:t>
      </w:r>
    </w:p>
    <w:p w14:paraId="180EC3E3">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u w:val="single"/>
        </w:rPr>
      </w:pPr>
      <w:r>
        <w:rPr>
          <w:rFonts w:hint="eastAsia" w:ascii="仿宋" w:hAnsi="仿宋" w:eastAsia="仿宋" w:cs="仿宋"/>
          <w:b/>
          <w:color w:val="auto"/>
          <w:sz w:val="28"/>
          <w:szCs w:val="28"/>
          <w:u w:val="single"/>
        </w:rPr>
        <w:t>以上《债权申报</w:t>
      </w:r>
      <w:r>
        <w:rPr>
          <w:rFonts w:hint="eastAsia" w:ascii="仿宋" w:hAnsi="仿宋" w:eastAsia="仿宋" w:cs="仿宋"/>
          <w:b/>
          <w:color w:val="auto"/>
          <w:sz w:val="28"/>
          <w:szCs w:val="28"/>
          <w:u w:val="single"/>
          <w:lang w:val="en-US" w:eastAsia="zh-CN"/>
        </w:rPr>
        <w:t>指南</w:t>
      </w:r>
      <w:r>
        <w:rPr>
          <w:rFonts w:hint="eastAsia" w:ascii="仿宋" w:hAnsi="仿宋" w:eastAsia="仿宋" w:cs="仿宋"/>
          <w:b/>
          <w:color w:val="auto"/>
          <w:sz w:val="28"/>
          <w:szCs w:val="28"/>
          <w:u w:val="single"/>
        </w:rPr>
        <w:t>》内容已经知悉，现予确认。</w:t>
      </w:r>
    </w:p>
    <w:p w14:paraId="7AC96017">
      <w:pPr>
        <w:keepNext w:val="0"/>
        <w:keepLines w:val="0"/>
        <w:pageBreakBefore w:val="0"/>
        <w:widowControl w:val="0"/>
        <w:kinsoku/>
        <w:wordWrap/>
        <w:overflowPunct/>
        <w:topLinePunct w:val="0"/>
        <w:autoSpaceDE/>
        <w:autoSpaceDN/>
        <w:bidi w:val="0"/>
        <w:adjustRightInd/>
        <w:snapToGrid/>
        <w:spacing w:line="560" w:lineRule="exact"/>
        <w:ind w:left="4677" w:leftChars="2227"/>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债权申报人（签章）：</w:t>
      </w:r>
    </w:p>
    <w:p w14:paraId="74813091">
      <w:pPr>
        <w:keepNext w:val="0"/>
        <w:keepLines w:val="0"/>
        <w:pageBreakBefore w:val="0"/>
        <w:widowControl w:val="0"/>
        <w:kinsoku/>
        <w:wordWrap/>
        <w:overflowPunct/>
        <w:topLinePunct w:val="0"/>
        <w:autoSpaceDE/>
        <w:autoSpaceDN/>
        <w:bidi w:val="0"/>
        <w:adjustRightInd/>
        <w:snapToGrid/>
        <w:spacing w:line="560" w:lineRule="exact"/>
        <w:ind w:right="26"/>
        <w:jc w:val="righ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年      月      日</w:t>
      </w:r>
    </w:p>
    <w:p w14:paraId="08D2E0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请按如下顺序排版需要提交的附件</w:t>
      </w:r>
      <w:r>
        <w:rPr>
          <w:rFonts w:hint="eastAsia" w:ascii="仿宋" w:hAnsi="仿宋" w:eastAsia="仿宋" w:cs="仿宋"/>
          <w:b/>
          <w:bCs/>
          <w:color w:val="auto"/>
          <w:sz w:val="28"/>
          <w:szCs w:val="28"/>
        </w:rPr>
        <w:t>：</w:t>
      </w:r>
    </w:p>
    <w:p w14:paraId="4B5E27FD">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《债权申报</w:t>
      </w:r>
      <w:r>
        <w:rPr>
          <w:rFonts w:hint="eastAsia" w:ascii="仿宋" w:hAnsi="仿宋" w:eastAsia="仿宋" w:cs="仿宋"/>
          <w:color w:val="auto"/>
          <w:sz w:val="28"/>
          <w:szCs w:val="28"/>
          <w:lang w:val="en-US" w:eastAsia="zh-CN"/>
        </w:rPr>
        <w:t>材料</w:t>
      </w:r>
      <w:r>
        <w:rPr>
          <w:rFonts w:hint="eastAsia" w:ascii="仿宋" w:hAnsi="仿宋" w:eastAsia="仿宋" w:cs="仿宋"/>
          <w:color w:val="auto"/>
          <w:sz w:val="28"/>
          <w:szCs w:val="28"/>
        </w:rPr>
        <w:t>清单》</w:t>
      </w:r>
      <w:r>
        <w:rPr>
          <w:rFonts w:hint="eastAsia" w:ascii="仿宋" w:hAnsi="仿宋" w:eastAsia="仿宋" w:cs="仿宋"/>
          <w:color w:val="auto"/>
          <w:sz w:val="28"/>
          <w:szCs w:val="28"/>
          <w:lang w:eastAsia="zh-CN"/>
        </w:rPr>
        <w:t>；</w:t>
      </w:r>
    </w:p>
    <w:p w14:paraId="2765FCD1">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债权申报登记表</w:t>
      </w:r>
      <w:r>
        <w:rPr>
          <w:rFonts w:hint="eastAsia" w:ascii="仿宋" w:hAnsi="仿宋" w:eastAsia="仿宋" w:cs="仿宋"/>
          <w:color w:val="auto"/>
          <w:sz w:val="28"/>
          <w:szCs w:val="28"/>
          <w:lang w:eastAsia="zh-CN"/>
        </w:rPr>
        <w:t>》；</w:t>
      </w:r>
    </w:p>
    <w:p w14:paraId="0E38C8DC">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《债权申报</w:t>
      </w:r>
      <w:r>
        <w:rPr>
          <w:rFonts w:hint="eastAsia" w:ascii="仿宋" w:hAnsi="仿宋" w:eastAsia="仿宋" w:cs="仿宋"/>
          <w:color w:val="auto"/>
          <w:sz w:val="28"/>
          <w:szCs w:val="28"/>
          <w:lang w:val="en-US" w:eastAsia="zh-CN"/>
        </w:rPr>
        <w:t>书</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w:t>
      </w:r>
    </w:p>
    <w:p w14:paraId="7E52501E">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《法定代表人身份证明书》</w:t>
      </w:r>
      <w:r>
        <w:rPr>
          <w:rFonts w:hint="eastAsia" w:ascii="仿宋" w:hAnsi="仿宋" w:eastAsia="仿宋" w:cs="仿宋"/>
          <w:color w:val="auto"/>
          <w:sz w:val="28"/>
          <w:szCs w:val="28"/>
          <w:lang w:eastAsia="zh-CN"/>
        </w:rPr>
        <w:t>；</w:t>
      </w:r>
    </w:p>
    <w:p w14:paraId="36C5EDBA">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《关于收款账户、送达地址及表决方式的确认函》</w:t>
      </w:r>
      <w:r>
        <w:rPr>
          <w:rFonts w:hint="eastAsia" w:ascii="仿宋" w:hAnsi="仿宋" w:eastAsia="仿宋" w:cs="仿宋"/>
          <w:color w:val="auto"/>
          <w:sz w:val="28"/>
          <w:szCs w:val="28"/>
          <w:lang w:eastAsia="zh-CN"/>
        </w:rPr>
        <w:t>；</w:t>
      </w:r>
    </w:p>
    <w:p w14:paraId="1E428B70">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授权委托书</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w:t>
      </w:r>
    </w:p>
    <w:p w14:paraId="1856AA85">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承诺</w:t>
      </w:r>
      <w:r>
        <w:rPr>
          <w:rFonts w:hint="eastAsia" w:ascii="仿宋" w:hAnsi="仿宋" w:eastAsia="仿宋" w:cs="仿宋"/>
          <w:color w:val="auto"/>
          <w:sz w:val="28"/>
          <w:szCs w:val="28"/>
        </w:rPr>
        <w:t>函》</w:t>
      </w:r>
      <w:r>
        <w:rPr>
          <w:rFonts w:hint="eastAsia" w:ascii="仿宋" w:hAnsi="仿宋" w:eastAsia="仿宋" w:cs="仿宋"/>
          <w:color w:val="auto"/>
          <w:sz w:val="28"/>
          <w:szCs w:val="28"/>
          <w:lang w:eastAsia="zh-CN"/>
        </w:rPr>
        <w:t>；</w:t>
      </w:r>
    </w:p>
    <w:p w14:paraId="4A8199DD">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债权申报证据清单</w:t>
      </w:r>
      <w:r>
        <w:rPr>
          <w:rFonts w:hint="eastAsia" w:ascii="仿宋" w:hAnsi="仿宋" w:eastAsia="仿宋" w:cs="仿宋"/>
          <w:color w:val="auto"/>
          <w:sz w:val="28"/>
          <w:szCs w:val="28"/>
          <w:lang w:eastAsia="zh-CN"/>
        </w:rPr>
        <w:t>》。</w:t>
      </w:r>
    </w:p>
    <w:sectPr>
      <w:footerReference r:id="rId3" w:type="even"/>
      <w:pgSz w:w="11906" w:h="16838"/>
      <w:pgMar w:top="1440" w:right="1800" w:bottom="1440" w:left="1800" w:header="851" w:footer="992" w:gutter="0"/>
      <w:cols w:space="0"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8F544">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2B599581">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287AB6"/>
    <w:multiLevelType w:val="singleLevel"/>
    <w:tmpl w:val="9A287AB6"/>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2MDNmZWU4NjQ4MTA3NzM2OGViMjMwMmM1ZTUxNmIifQ=="/>
  </w:docVars>
  <w:rsids>
    <w:rsidRoot w:val="002C3012"/>
    <w:rsid w:val="000126A2"/>
    <w:rsid w:val="00020F97"/>
    <w:rsid w:val="00040D64"/>
    <w:rsid w:val="0004630C"/>
    <w:rsid w:val="00057D07"/>
    <w:rsid w:val="000B2FD7"/>
    <w:rsid w:val="000E18E3"/>
    <w:rsid w:val="000F1451"/>
    <w:rsid w:val="000F270D"/>
    <w:rsid w:val="00110EEC"/>
    <w:rsid w:val="0011408A"/>
    <w:rsid w:val="0013160F"/>
    <w:rsid w:val="00164CAA"/>
    <w:rsid w:val="00166681"/>
    <w:rsid w:val="001A05EE"/>
    <w:rsid w:val="001A0AC0"/>
    <w:rsid w:val="001B126B"/>
    <w:rsid w:val="001C3562"/>
    <w:rsid w:val="001C5290"/>
    <w:rsid w:val="001E3CB5"/>
    <w:rsid w:val="001F4084"/>
    <w:rsid w:val="001F5CC8"/>
    <w:rsid w:val="0022039B"/>
    <w:rsid w:val="00221DAF"/>
    <w:rsid w:val="00241436"/>
    <w:rsid w:val="002559EB"/>
    <w:rsid w:val="002A2A38"/>
    <w:rsid w:val="002C0C97"/>
    <w:rsid w:val="002C3012"/>
    <w:rsid w:val="00323FEC"/>
    <w:rsid w:val="00346405"/>
    <w:rsid w:val="00362915"/>
    <w:rsid w:val="0036680F"/>
    <w:rsid w:val="00384B7F"/>
    <w:rsid w:val="003B5329"/>
    <w:rsid w:val="003E451F"/>
    <w:rsid w:val="003E7E50"/>
    <w:rsid w:val="00407E37"/>
    <w:rsid w:val="004310D0"/>
    <w:rsid w:val="00442800"/>
    <w:rsid w:val="004457DF"/>
    <w:rsid w:val="00453D27"/>
    <w:rsid w:val="004671E1"/>
    <w:rsid w:val="004834AD"/>
    <w:rsid w:val="004F26BB"/>
    <w:rsid w:val="0050653D"/>
    <w:rsid w:val="0051770D"/>
    <w:rsid w:val="00541844"/>
    <w:rsid w:val="005713C6"/>
    <w:rsid w:val="00573F10"/>
    <w:rsid w:val="005804B2"/>
    <w:rsid w:val="00582EB6"/>
    <w:rsid w:val="005A0DB2"/>
    <w:rsid w:val="005A43B0"/>
    <w:rsid w:val="005C088A"/>
    <w:rsid w:val="00600749"/>
    <w:rsid w:val="00615287"/>
    <w:rsid w:val="00616F98"/>
    <w:rsid w:val="00656315"/>
    <w:rsid w:val="00686B60"/>
    <w:rsid w:val="006B5A21"/>
    <w:rsid w:val="006F0D08"/>
    <w:rsid w:val="006F56F5"/>
    <w:rsid w:val="007316EC"/>
    <w:rsid w:val="00732427"/>
    <w:rsid w:val="00732F22"/>
    <w:rsid w:val="007613EE"/>
    <w:rsid w:val="007774D4"/>
    <w:rsid w:val="00787B57"/>
    <w:rsid w:val="007F02F8"/>
    <w:rsid w:val="008006D9"/>
    <w:rsid w:val="008146FE"/>
    <w:rsid w:val="00872380"/>
    <w:rsid w:val="00874ADF"/>
    <w:rsid w:val="0089642D"/>
    <w:rsid w:val="00897027"/>
    <w:rsid w:val="008A4B59"/>
    <w:rsid w:val="008A6474"/>
    <w:rsid w:val="008D5F00"/>
    <w:rsid w:val="008F51C4"/>
    <w:rsid w:val="008F6C9D"/>
    <w:rsid w:val="00902635"/>
    <w:rsid w:val="00925C58"/>
    <w:rsid w:val="00954EAD"/>
    <w:rsid w:val="009A45BE"/>
    <w:rsid w:val="009A7C2C"/>
    <w:rsid w:val="009E334C"/>
    <w:rsid w:val="00A1435C"/>
    <w:rsid w:val="00A177D0"/>
    <w:rsid w:val="00A54190"/>
    <w:rsid w:val="00A753F6"/>
    <w:rsid w:val="00A8301E"/>
    <w:rsid w:val="00A91E9D"/>
    <w:rsid w:val="00AA6826"/>
    <w:rsid w:val="00AE5A7E"/>
    <w:rsid w:val="00AF17A0"/>
    <w:rsid w:val="00AF6CC8"/>
    <w:rsid w:val="00B1799C"/>
    <w:rsid w:val="00B25D87"/>
    <w:rsid w:val="00B31140"/>
    <w:rsid w:val="00B476B4"/>
    <w:rsid w:val="00B47C8C"/>
    <w:rsid w:val="00B65E79"/>
    <w:rsid w:val="00BA2F5D"/>
    <w:rsid w:val="00BB08D1"/>
    <w:rsid w:val="00BD187B"/>
    <w:rsid w:val="00BD39ED"/>
    <w:rsid w:val="00C001B3"/>
    <w:rsid w:val="00C00B31"/>
    <w:rsid w:val="00C45425"/>
    <w:rsid w:val="00C4588F"/>
    <w:rsid w:val="00C47661"/>
    <w:rsid w:val="00C61C8D"/>
    <w:rsid w:val="00C93BF1"/>
    <w:rsid w:val="00CA771E"/>
    <w:rsid w:val="00CB2C6D"/>
    <w:rsid w:val="00CD6EDE"/>
    <w:rsid w:val="00D125C7"/>
    <w:rsid w:val="00D30474"/>
    <w:rsid w:val="00D503B9"/>
    <w:rsid w:val="00D77A95"/>
    <w:rsid w:val="00DC093B"/>
    <w:rsid w:val="00DF4C33"/>
    <w:rsid w:val="00E024AF"/>
    <w:rsid w:val="00E22490"/>
    <w:rsid w:val="00E43860"/>
    <w:rsid w:val="00E62073"/>
    <w:rsid w:val="00E76842"/>
    <w:rsid w:val="00EB5920"/>
    <w:rsid w:val="00EC753F"/>
    <w:rsid w:val="00EE0137"/>
    <w:rsid w:val="00EE6E2B"/>
    <w:rsid w:val="00EF1568"/>
    <w:rsid w:val="00F45025"/>
    <w:rsid w:val="00F465CC"/>
    <w:rsid w:val="00F84C4C"/>
    <w:rsid w:val="00F908BB"/>
    <w:rsid w:val="00F9381E"/>
    <w:rsid w:val="00FB6867"/>
    <w:rsid w:val="021C0655"/>
    <w:rsid w:val="07286983"/>
    <w:rsid w:val="07E35D35"/>
    <w:rsid w:val="0E124C7E"/>
    <w:rsid w:val="0F5F39AE"/>
    <w:rsid w:val="103A5C8E"/>
    <w:rsid w:val="110D0988"/>
    <w:rsid w:val="11D24CF0"/>
    <w:rsid w:val="14E3648E"/>
    <w:rsid w:val="14FC08A7"/>
    <w:rsid w:val="15F3289A"/>
    <w:rsid w:val="16AB72E9"/>
    <w:rsid w:val="181C1189"/>
    <w:rsid w:val="190E10BD"/>
    <w:rsid w:val="193A0B2E"/>
    <w:rsid w:val="1A18186E"/>
    <w:rsid w:val="1B4A4141"/>
    <w:rsid w:val="1B8044B8"/>
    <w:rsid w:val="1BD36015"/>
    <w:rsid w:val="1C394C06"/>
    <w:rsid w:val="1DA01349"/>
    <w:rsid w:val="1E5677A0"/>
    <w:rsid w:val="1F235081"/>
    <w:rsid w:val="1F3F5AEF"/>
    <w:rsid w:val="1FA15E62"/>
    <w:rsid w:val="223C32DB"/>
    <w:rsid w:val="22D22B10"/>
    <w:rsid w:val="25DA0C6C"/>
    <w:rsid w:val="261F618E"/>
    <w:rsid w:val="264B7E6A"/>
    <w:rsid w:val="2828298D"/>
    <w:rsid w:val="286914E7"/>
    <w:rsid w:val="2BAE15FA"/>
    <w:rsid w:val="2C8B2025"/>
    <w:rsid w:val="2CB7172A"/>
    <w:rsid w:val="2EAF6A86"/>
    <w:rsid w:val="30AE1BA2"/>
    <w:rsid w:val="30E630E3"/>
    <w:rsid w:val="31B25CAD"/>
    <w:rsid w:val="352643BB"/>
    <w:rsid w:val="373803AB"/>
    <w:rsid w:val="3AB33FCE"/>
    <w:rsid w:val="3BB528D5"/>
    <w:rsid w:val="3E8310FD"/>
    <w:rsid w:val="3FF71E35"/>
    <w:rsid w:val="43FF290F"/>
    <w:rsid w:val="45622D3C"/>
    <w:rsid w:val="47ED774E"/>
    <w:rsid w:val="47F646ED"/>
    <w:rsid w:val="49A45F2D"/>
    <w:rsid w:val="4D2B7DD0"/>
    <w:rsid w:val="4DBA3A48"/>
    <w:rsid w:val="506B0D71"/>
    <w:rsid w:val="51C954FC"/>
    <w:rsid w:val="520D7F55"/>
    <w:rsid w:val="52B8592A"/>
    <w:rsid w:val="53A07C03"/>
    <w:rsid w:val="53F25045"/>
    <w:rsid w:val="55DA73FC"/>
    <w:rsid w:val="590C2F96"/>
    <w:rsid w:val="5A1153B7"/>
    <w:rsid w:val="5A993548"/>
    <w:rsid w:val="5EED0F70"/>
    <w:rsid w:val="60807655"/>
    <w:rsid w:val="69386799"/>
    <w:rsid w:val="6A531ADF"/>
    <w:rsid w:val="6E436CDF"/>
    <w:rsid w:val="6E9F2B3A"/>
    <w:rsid w:val="77DA48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nhideWhenUsed="0" w:uiPriority="0" w:semiHidden="0" w:name="toa heading"/>
    <w:lsdException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autoRedefine/>
    <w:semiHidden/>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mdlaw</Company>
  <Pages>5</Pages>
  <Words>2572</Words>
  <Characters>2661</Characters>
  <Lines>19</Lines>
  <Paragraphs>5</Paragraphs>
  <TotalTime>1</TotalTime>
  <ScaleCrop>false</ScaleCrop>
  <LinksUpToDate>false</LinksUpToDate>
  <CharactersWithSpaces>2689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2015-04-20T10:29:00Z</dcterms:created>
  <dc:creator>陈良洲</dc:creator>
  <dc:description>广东众诚律师事务所</dc:description>
  <cp:lastModifiedBy>陈仕松</cp:lastModifiedBy>
  <cp:lastPrinted>2019-03-20T07:23:00Z</cp:lastPrinted>
  <dcterms:modified xsi:type="dcterms:W3CDTF">2026-05-27T10:33:38Z</dcterms:modified>
  <dc:title>债权申报须知</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A0F85378017D4ACAA621A48CACBEC75C_13</vt:lpwstr>
  </property>
  <property fmtid="{D5CDD505-2E9C-101B-9397-08002B2CF9AE}" pid="4" name="KSOTemplateDocerSaveRecord">
    <vt:lpwstr>eyJoZGlkIjoiOGJlZGIzZmNmOThiNjkyZTMyMmJkMjRhMGRmZWNmNTIiLCJ1c2VySWQiOiI1MDg5OTU1NzkifQ==</vt:lpwstr>
  </property>
</Properties>
</file>