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0FB8D3">
      <w:pPr>
        <w:snapToGrid w:val="0"/>
        <w:spacing w:line="360" w:lineRule="auto"/>
        <w:jc w:val="center"/>
        <w:rPr>
          <w:rFonts w:ascii="仿宋" w:hAnsi="仿宋" w:eastAsia="仿宋"/>
          <w:b/>
          <w:sz w:val="28"/>
          <w:szCs w:val="28"/>
        </w:rPr>
      </w:pPr>
    </w:p>
    <w:p w14:paraId="4F038395">
      <w:pPr>
        <w:widowControl/>
        <w:snapToGrid w:val="0"/>
        <w:spacing w:line="360" w:lineRule="auto"/>
        <w:jc w:val="center"/>
        <w:rPr>
          <w:rFonts w:ascii="宋体" w:cs="宋体"/>
          <w:b/>
          <w:kern w:val="0"/>
          <w:sz w:val="32"/>
          <w:szCs w:val="32"/>
        </w:rPr>
      </w:pPr>
      <w:r>
        <w:rPr>
          <w:rFonts w:hint="eastAsia" w:ascii="宋体" w:hAnsi="宋体" w:cs="仿宋_GB2312"/>
          <w:b/>
          <w:sz w:val="32"/>
          <w:szCs w:val="32"/>
          <w:lang w:eastAsia="zh-CN"/>
        </w:rPr>
        <w:t>浙江味觉跳动科技有限公司</w:t>
      </w:r>
      <w:r>
        <w:rPr>
          <w:rFonts w:hint="eastAsia" w:ascii="宋体" w:hAnsi="宋体" w:cs="宋体"/>
          <w:b/>
          <w:kern w:val="0"/>
          <w:sz w:val="32"/>
          <w:szCs w:val="32"/>
        </w:rPr>
        <w:t>破产清算案</w:t>
      </w:r>
    </w:p>
    <w:p w14:paraId="5F9EAED5">
      <w:pPr>
        <w:widowControl/>
        <w:snapToGrid w:val="0"/>
        <w:spacing w:line="360" w:lineRule="auto"/>
        <w:jc w:val="center"/>
        <w:rPr>
          <w:rFonts w:ascii="宋体" w:hAnsi="宋体" w:cs="仿宋_GB2312"/>
          <w:b/>
          <w:sz w:val="32"/>
          <w:szCs w:val="32"/>
        </w:rPr>
      </w:pPr>
      <w:r>
        <w:rPr>
          <w:rFonts w:hint="eastAsia" w:ascii="宋体" w:hAnsi="宋体" w:cs="仿宋_GB2312"/>
          <w:b/>
          <w:sz w:val="32"/>
          <w:szCs w:val="32"/>
        </w:rPr>
        <w:t>债 权 申 报 须 知</w:t>
      </w:r>
    </w:p>
    <w:p w14:paraId="053B028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</w:p>
    <w:p w14:paraId="48C2F093">
      <w:pPr>
        <w:widowControl/>
        <w:snapToGrid w:val="0"/>
        <w:spacing w:line="360" w:lineRule="auto"/>
        <w:ind w:firstLine="537" w:firstLineChars="192"/>
        <w:rPr>
          <w:rFonts w:ascii="仿宋" w:hAnsi="仿宋" w:eastAsia="仿宋"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/>
          <w:color w:val="000000"/>
          <w:kern w:val="0"/>
          <w:sz w:val="28"/>
          <w:szCs w:val="28"/>
          <w:lang w:eastAsia="zh-CN"/>
        </w:rPr>
        <w:t>杭州市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西湖区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eastAsia="zh-CN"/>
        </w:rPr>
        <w:t>人民法院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（以下简称“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西湖法院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”）于2026年4月24日出具（202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）浙0106破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申29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号民事裁定书，裁定受理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eastAsia="zh-CN"/>
        </w:rPr>
        <w:t>浙江味觉跳动科技有限公司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破产清算一案，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月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日，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eastAsia="zh-CN"/>
        </w:rPr>
        <w:t>西湖法院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出具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eastAsia="zh-CN"/>
        </w:rPr>
        <w:t>（202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eastAsia="zh-CN"/>
        </w:rPr>
        <w:t>）浙01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06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eastAsia="zh-CN"/>
        </w:rPr>
        <w:t>破</w:t>
      </w:r>
      <w:r>
        <w:rPr>
          <w:rFonts w:hint="eastAsia" w:ascii="仿宋" w:hAnsi="仿宋" w:eastAsia="仿宋"/>
          <w:color w:val="000000"/>
          <w:kern w:val="0"/>
          <w:sz w:val="28"/>
          <w:szCs w:val="28"/>
          <w:lang w:val="en-US" w:eastAsia="zh-CN"/>
        </w:rPr>
        <w:t>34</w:t>
      </w:r>
      <w:r>
        <w:rPr>
          <w:rFonts w:hint="eastAsia" w:ascii="仿宋" w:hAnsi="仿宋" w:eastAsia="仿宋"/>
          <w:color w:val="000000"/>
          <w:kern w:val="0"/>
          <w:sz w:val="28"/>
          <w:szCs w:val="28"/>
        </w:rPr>
        <w:t>号决定书，指定北京中银（杭州）律师事务所担任破产管理人。</w:t>
      </w:r>
    </w:p>
    <w:p w14:paraId="057DCF5A">
      <w:pPr>
        <w:widowControl/>
        <w:snapToGrid w:val="0"/>
        <w:spacing w:line="360" w:lineRule="auto"/>
        <w:ind w:firstLine="537" w:firstLineChars="192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为使债权人了解债务人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浙江味觉跳动科技有限公司</w:t>
      </w:r>
      <w:r>
        <w:rPr>
          <w:rFonts w:hint="eastAsia" w:ascii="仿宋" w:hAnsi="仿宋" w:eastAsia="仿宋" w:cs="宋体"/>
          <w:kern w:val="0"/>
          <w:sz w:val="28"/>
          <w:szCs w:val="28"/>
        </w:rPr>
        <w:t>破产清算案债权申报程序，促进债权申报工作的顺利进行，管理人就债权人申报债权的相关事宜说明如下：</w:t>
      </w:r>
      <w:r>
        <w:rPr>
          <w:rFonts w:ascii="仿宋" w:hAnsi="仿宋" w:eastAsia="仿宋" w:cs="宋体"/>
          <w:kern w:val="0"/>
          <w:sz w:val="28"/>
          <w:szCs w:val="28"/>
        </w:rPr>
        <w:t xml:space="preserve"> </w:t>
      </w:r>
    </w:p>
    <w:p w14:paraId="0C86DE41">
      <w:pPr>
        <w:widowControl/>
        <w:adjustRightInd w:val="0"/>
        <w:snapToGrid w:val="0"/>
        <w:spacing w:line="360" w:lineRule="auto"/>
        <w:ind w:firstLine="551" w:firstLineChars="196"/>
        <w:textAlignment w:val="baseline"/>
        <w:rPr>
          <w:rFonts w:ascii="仿宋" w:hAnsi="仿宋" w:eastAsia="仿宋"/>
          <w:b/>
          <w:kern w:val="0"/>
          <w:sz w:val="28"/>
          <w:szCs w:val="28"/>
        </w:rPr>
      </w:pPr>
      <w:r>
        <w:rPr>
          <w:rFonts w:hint="eastAsia" w:ascii="仿宋" w:hAnsi="仿宋" w:eastAsia="仿宋"/>
          <w:b/>
          <w:kern w:val="0"/>
          <w:sz w:val="28"/>
          <w:szCs w:val="28"/>
        </w:rPr>
        <w:t>一、申报债权主体：</w:t>
      </w:r>
    </w:p>
    <w:p w14:paraId="498B4E6B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b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西湖法院</w:t>
      </w:r>
      <w:r>
        <w:rPr>
          <w:rFonts w:hint="eastAsia" w:ascii="仿宋" w:hAnsi="仿宋" w:eastAsia="仿宋" w:cs="宋体"/>
          <w:kern w:val="0"/>
          <w:sz w:val="28"/>
          <w:szCs w:val="28"/>
        </w:rPr>
        <w:t>裁定受理对债务人破产清算申请时，对债务人享有债权的债权人，均可以向管理人申报债权。但债务人所欠职工的工资和医疗、伤残补助、抚恤费用，所欠的应当划入职工个人账户的基本养老保险、基本医疗保险费用，以及法律、行政法规规定应当支付给职工的补偿金，不必申报，由管理人调查后列出清单并予以公示。</w:t>
      </w:r>
      <w:r>
        <w:rPr>
          <w:rFonts w:hint="eastAsia" w:ascii="仿宋" w:hAnsi="仿宋" w:eastAsia="仿宋" w:cs="宋体"/>
          <w:b/>
          <w:kern w:val="0"/>
          <w:sz w:val="28"/>
          <w:szCs w:val="28"/>
        </w:rPr>
        <w:t>债权人在申报债权时应当注意以下几点：</w:t>
      </w:r>
    </w:p>
    <w:p w14:paraId="4C2A84EE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⑴未到期的债权，在破产申请受理时视为债权到期；</w:t>
      </w:r>
    </w:p>
    <w:p w14:paraId="3C4CF192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b/>
          <w:bCs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⑵附利息的债权，</w:t>
      </w:r>
      <w:r>
        <w:rPr>
          <w:rFonts w:hint="eastAsia" w:ascii="仿宋" w:hAnsi="仿宋" w:eastAsia="仿宋" w:cs="宋体"/>
          <w:b/>
          <w:bCs/>
          <w:kern w:val="0"/>
          <w:sz w:val="28"/>
          <w:szCs w:val="28"/>
        </w:rPr>
        <w:t>自破产申请受理时起停止计息；</w:t>
      </w:r>
    </w:p>
    <w:p w14:paraId="3F2FB4AE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⑶附条件、附期限的债权和诉讼、仲裁未决的债权，债权人可以申报；</w:t>
      </w:r>
    </w:p>
    <w:p w14:paraId="595A09E1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⑷债权人申报债权时，应当书面说明债权的数额和有无财产担保情况，并提交有关证据；申报的债权是连带债权的，应当说明；</w:t>
      </w:r>
    </w:p>
    <w:p w14:paraId="773B12CB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⑸连带债权人可以由其中一人代表全体连带债权人申报债权，也可以共同申报债权；</w:t>
      </w:r>
    </w:p>
    <w:p w14:paraId="023E50D9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⑹债务人的保证人或者其他连带债务人已经代替债务人清偿债务的，可就其对债务人的求偿权申报债权；</w:t>
      </w:r>
    </w:p>
    <w:p w14:paraId="4F2233F9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⑺债务人的保证人或者其他连带债务人尚未代替债务人清偿债务的，以其对债务人的将来求偿权申报债权。但债权人已经向管理人申报全部债权的除外；</w:t>
      </w:r>
    </w:p>
    <w:p w14:paraId="55093B09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⑻管理人或者债务人依照《企业破产法》规定解除合同的，对方当事人以因合同解除所产生的损害赔偿请求权申报债权；</w:t>
      </w:r>
    </w:p>
    <w:p w14:paraId="34F0E32E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⑼债务人是委托合同的委托人，被裁定适用《企业破产法》规定的程序，受托人不知该事实，继续处理委托事务的，受托人以由此产生的请求权申报债权；</w:t>
      </w:r>
    </w:p>
    <w:p w14:paraId="7696B65A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⑽债务人是票据的出票人，被裁定适用《企业破产法》规定的程序，该票据的付款人继续付款或者承兑的，付款人以由此产生的请求权申报债权。</w:t>
      </w:r>
    </w:p>
    <w:p w14:paraId="10C4804A">
      <w:pPr>
        <w:widowControl/>
        <w:adjustRightInd w:val="0"/>
        <w:snapToGrid w:val="0"/>
        <w:spacing w:line="360" w:lineRule="auto"/>
        <w:ind w:firstLine="548" w:firstLineChars="196"/>
        <w:textAlignment w:val="baseline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⑾法律规定其他可以申报的债权，债权人应当予以申报。</w:t>
      </w:r>
    </w:p>
    <w:p w14:paraId="45B1691B">
      <w:pPr>
        <w:widowControl/>
        <w:adjustRightInd w:val="0"/>
        <w:snapToGrid w:val="0"/>
        <w:spacing w:line="360" w:lineRule="auto"/>
        <w:ind w:firstLine="551" w:firstLineChars="196"/>
        <w:textAlignment w:val="baseline"/>
        <w:rPr>
          <w:rFonts w:ascii="仿宋" w:hAnsi="仿宋" w:eastAsia="仿宋"/>
          <w:b/>
          <w:kern w:val="0"/>
          <w:sz w:val="28"/>
          <w:szCs w:val="28"/>
        </w:rPr>
      </w:pPr>
      <w:r>
        <w:rPr>
          <w:rFonts w:hint="eastAsia" w:ascii="仿宋" w:hAnsi="仿宋" w:eastAsia="仿宋"/>
          <w:b/>
          <w:kern w:val="0"/>
          <w:sz w:val="28"/>
          <w:szCs w:val="28"/>
        </w:rPr>
        <w:t>债权人未依照《企业破产法》规定申报债权的，不得依照《企业破产法》规定的程序行使权利。</w:t>
      </w:r>
    </w:p>
    <w:p w14:paraId="37102E66">
      <w:pPr>
        <w:widowControl/>
        <w:adjustRightInd w:val="0"/>
        <w:snapToGrid w:val="0"/>
        <w:spacing w:line="360" w:lineRule="auto"/>
        <w:ind w:firstLine="551" w:firstLineChars="196"/>
        <w:textAlignment w:val="baseline"/>
        <w:rPr>
          <w:rFonts w:ascii="仿宋" w:hAnsi="仿宋" w:eastAsia="仿宋"/>
          <w:b/>
          <w:kern w:val="0"/>
          <w:sz w:val="28"/>
          <w:szCs w:val="28"/>
        </w:rPr>
      </w:pPr>
      <w:r>
        <w:rPr>
          <w:rFonts w:hint="eastAsia" w:ascii="仿宋" w:hAnsi="仿宋" w:eastAsia="仿宋"/>
          <w:b/>
          <w:kern w:val="0"/>
          <w:sz w:val="28"/>
          <w:szCs w:val="28"/>
        </w:rPr>
        <w:t>二、申报债权应提供以下资料：</w:t>
      </w:r>
    </w:p>
    <w:p w14:paraId="5AA56392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1</w:t>
      </w:r>
      <w:r>
        <w:rPr>
          <w:rFonts w:hint="eastAsia" w:ascii="仿宋" w:hAnsi="仿宋" w:eastAsia="仿宋"/>
          <w:kern w:val="0"/>
          <w:sz w:val="28"/>
          <w:szCs w:val="28"/>
        </w:rPr>
        <w:t>、债权人为法人或其他组织的，应提供债权人已年检的营业执照复印件</w:t>
      </w:r>
      <w:r>
        <w:rPr>
          <w:rFonts w:ascii="仿宋" w:hAnsi="仿宋" w:eastAsia="仿宋"/>
          <w:kern w:val="0"/>
          <w:sz w:val="28"/>
          <w:szCs w:val="28"/>
        </w:rPr>
        <w:t>(</w:t>
      </w:r>
      <w:r>
        <w:rPr>
          <w:rFonts w:hint="eastAsia" w:ascii="仿宋" w:hAnsi="仿宋" w:eastAsia="仿宋"/>
          <w:kern w:val="0"/>
          <w:sz w:val="28"/>
          <w:szCs w:val="28"/>
        </w:rPr>
        <w:t>加盖公章</w:t>
      </w:r>
      <w:r>
        <w:rPr>
          <w:rFonts w:ascii="仿宋" w:hAnsi="仿宋" w:eastAsia="仿宋"/>
          <w:kern w:val="0"/>
          <w:sz w:val="28"/>
          <w:szCs w:val="28"/>
        </w:rPr>
        <w:t>)</w:t>
      </w:r>
      <w:r>
        <w:rPr>
          <w:rFonts w:hint="eastAsia" w:ascii="仿宋" w:hAnsi="仿宋" w:eastAsia="仿宋"/>
          <w:kern w:val="0"/>
          <w:sz w:val="28"/>
          <w:szCs w:val="28"/>
        </w:rPr>
        <w:t>、组织机构代码证复印件</w:t>
      </w:r>
      <w:r>
        <w:rPr>
          <w:rFonts w:ascii="仿宋" w:hAnsi="仿宋" w:eastAsia="仿宋"/>
          <w:kern w:val="0"/>
          <w:sz w:val="28"/>
          <w:szCs w:val="28"/>
        </w:rPr>
        <w:t>(</w:t>
      </w:r>
      <w:r>
        <w:rPr>
          <w:rFonts w:hint="eastAsia" w:ascii="仿宋" w:hAnsi="仿宋" w:eastAsia="仿宋"/>
          <w:kern w:val="0"/>
          <w:sz w:val="28"/>
          <w:szCs w:val="28"/>
        </w:rPr>
        <w:t>加盖公章</w:t>
      </w:r>
      <w:r>
        <w:rPr>
          <w:rFonts w:ascii="仿宋" w:hAnsi="仿宋" w:eastAsia="仿宋"/>
          <w:kern w:val="0"/>
          <w:sz w:val="28"/>
          <w:szCs w:val="28"/>
        </w:rPr>
        <w:t>)</w:t>
      </w:r>
      <w:r>
        <w:rPr>
          <w:rFonts w:hint="eastAsia" w:ascii="仿宋" w:hAnsi="仿宋" w:eastAsia="仿宋"/>
          <w:kern w:val="0"/>
          <w:sz w:val="28"/>
          <w:szCs w:val="28"/>
        </w:rPr>
        <w:t>、法定代表人身份证明书</w:t>
      </w:r>
      <w:r>
        <w:rPr>
          <w:rFonts w:ascii="仿宋" w:hAnsi="仿宋" w:eastAsia="仿宋"/>
          <w:kern w:val="0"/>
          <w:sz w:val="28"/>
          <w:szCs w:val="28"/>
        </w:rPr>
        <w:t>(</w:t>
      </w:r>
      <w:r>
        <w:rPr>
          <w:rFonts w:hint="eastAsia" w:ascii="仿宋" w:hAnsi="仿宋" w:eastAsia="仿宋"/>
          <w:kern w:val="0"/>
          <w:sz w:val="28"/>
          <w:szCs w:val="28"/>
        </w:rPr>
        <w:t>原件</w:t>
      </w:r>
      <w:r>
        <w:rPr>
          <w:rFonts w:ascii="仿宋" w:hAnsi="仿宋" w:eastAsia="仿宋"/>
          <w:kern w:val="0"/>
          <w:sz w:val="28"/>
          <w:szCs w:val="28"/>
        </w:rPr>
        <w:t>)</w:t>
      </w:r>
      <w:r>
        <w:rPr>
          <w:rFonts w:hint="eastAsia" w:ascii="仿宋" w:hAnsi="仿宋" w:eastAsia="仿宋"/>
          <w:kern w:val="0"/>
          <w:sz w:val="28"/>
          <w:szCs w:val="28"/>
        </w:rPr>
        <w:t>、法定代表人身份证复印件</w:t>
      </w:r>
      <w:r>
        <w:rPr>
          <w:rFonts w:ascii="仿宋" w:hAnsi="仿宋" w:eastAsia="仿宋"/>
          <w:kern w:val="0"/>
          <w:sz w:val="28"/>
          <w:szCs w:val="28"/>
        </w:rPr>
        <w:t>(</w:t>
      </w:r>
      <w:r>
        <w:rPr>
          <w:rFonts w:hint="eastAsia" w:ascii="仿宋" w:hAnsi="仿宋" w:eastAsia="仿宋"/>
          <w:kern w:val="0"/>
          <w:sz w:val="28"/>
          <w:szCs w:val="28"/>
        </w:rPr>
        <w:t>签字确认</w:t>
      </w:r>
      <w:r>
        <w:rPr>
          <w:rFonts w:ascii="仿宋" w:hAnsi="仿宋" w:eastAsia="仿宋"/>
          <w:kern w:val="0"/>
          <w:sz w:val="28"/>
          <w:szCs w:val="28"/>
        </w:rPr>
        <w:t>)</w:t>
      </w:r>
      <w:r>
        <w:rPr>
          <w:rFonts w:hint="eastAsia" w:ascii="仿宋" w:hAnsi="仿宋" w:eastAsia="仿宋"/>
          <w:kern w:val="0"/>
          <w:sz w:val="28"/>
          <w:szCs w:val="28"/>
        </w:rPr>
        <w:t>；</w:t>
      </w:r>
    </w:p>
    <w:p w14:paraId="672BDA1D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债权人为个人的，提供个人身份证明</w:t>
      </w:r>
      <w:r>
        <w:rPr>
          <w:rFonts w:ascii="仿宋" w:hAnsi="仿宋" w:eastAsia="仿宋"/>
          <w:kern w:val="0"/>
          <w:sz w:val="28"/>
          <w:szCs w:val="28"/>
        </w:rPr>
        <w:t>(</w:t>
      </w:r>
      <w:r>
        <w:rPr>
          <w:rFonts w:hint="eastAsia" w:ascii="仿宋" w:hAnsi="仿宋" w:eastAsia="仿宋"/>
          <w:kern w:val="0"/>
          <w:sz w:val="28"/>
          <w:szCs w:val="28"/>
        </w:rPr>
        <w:t>复印件签字确认</w:t>
      </w:r>
      <w:r>
        <w:rPr>
          <w:rFonts w:ascii="仿宋" w:hAnsi="仿宋" w:eastAsia="仿宋"/>
          <w:kern w:val="0"/>
          <w:sz w:val="28"/>
          <w:szCs w:val="28"/>
        </w:rPr>
        <w:t>)</w:t>
      </w:r>
      <w:r>
        <w:rPr>
          <w:rFonts w:hint="eastAsia" w:ascii="仿宋" w:hAnsi="仿宋" w:eastAsia="仿宋"/>
          <w:kern w:val="0"/>
          <w:sz w:val="28"/>
          <w:szCs w:val="28"/>
        </w:rPr>
        <w:t>；</w:t>
      </w:r>
    </w:p>
    <w:p w14:paraId="1089F896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委托代理人申报的，须提交授权委托书</w:t>
      </w:r>
      <w:r>
        <w:rPr>
          <w:rFonts w:ascii="仿宋" w:hAnsi="仿宋" w:eastAsia="仿宋"/>
          <w:kern w:val="0"/>
          <w:sz w:val="28"/>
          <w:szCs w:val="28"/>
        </w:rPr>
        <w:t>(</w:t>
      </w:r>
      <w:r>
        <w:rPr>
          <w:rFonts w:hint="eastAsia" w:ascii="仿宋" w:hAnsi="仿宋" w:eastAsia="仿宋"/>
          <w:kern w:val="0"/>
          <w:sz w:val="28"/>
          <w:szCs w:val="28"/>
        </w:rPr>
        <w:t>原件</w:t>
      </w:r>
      <w:r>
        <w:rPr>
          <w:rFonts w:ascii="仿宋" w:hAnsi="仿宋" w:eastAsia="仿宋"/>
          <w:kern w:val="0"/>
          <w:sz w:val="28"/>
          <w:szCs w:val="28"/>
        </w:rPr>
        <w:t>)</w:t>
      </w:r>
      <w:r>
        <w:rPr>
          <w:rFonts w:hint="eastAsia" w:ascii="仿宋" w:hAnsi="仿宋" w:eastAsia="仿宋"/>
          <w:kern w:val="0"/>
          <w:sz w:val="28"/>
          <w:szCs w:val="28"/>
        </w:rPr>
        <w:t>及代理人身份证明</w:t>
      </w:r>
      <w:r>
        <w:rPr>
          <w:rFonts w:ascii="仿宋" w:hAnsi="仿宋" w:eastAsia="仿宋"/>
          <w:kern w:val="0"/>
          <w:sz w:val="28"/>
          <w:szCs w:val="28"/>
        </w:rPr>
        <w:t>(</w:t>
      </w:r>
      <w:r>
        <w:rPr>
          <w:rFonts w:hint="eastAsia" w:ascii="仿宋" w:hAnsi="仿宋" w:eastAsia="仿宋"/>
          <w:kern w:val="0"/>
          <w:sz w:val="28"/>
          <w:szCs w:val="28"/>
        </w:rPr>
        <w:t>复印件签字确认</w:t>
      </w:r>
      <w:r>
        <w:rPr>
          <w:rFonts w:ascii="仿宋" w:hAnsi="仿宋" w:eastAsia="仿宋"/>
          <w:kern w:val="0"/>
          <w:sz w:val="28"/>
          <w:szCs w:val="28"/>
        </w:rPr>
        <w:t>);</w:t>
      </w:r>
    </w:p>
    <w:p w14:paraId="3AE4A117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2</w:t>
      </w:r>
      <w:r>
        <w:rPr>
          <w:rFonts w:hint="eastAsia" w:ascii="仿宋" w:hAnsi="仿宋" w:eastAsia="仿宋"/>
          <w:kern w:val="0"/>
          <w:sz w:val="28"/>
          <w:szCs w:val="28"/>
        </w:rPr>
        <w:t>、债权申报表、申报材料清单；</w:t>
      </w:r>
    </w:p>
    <w:p w14:paraId="65C619C6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3</w:t>
      </w:r>
      <w:r>
        <w:rPr>
          <w:rFonts w:hint="eastAsia" w:ascii="仿宋" w:hAnsi="仿宋" w:eastAsia="仿宋"/>
          <w:kern w:val="0"/>
          <w:sz w:val="28"/>
          <w:szCs w:val="28"/>
        </w:rPr>
        <w:t>、证据材料：包括但不限于合同、协议、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往来账</w:t>
      </w:r>
      <w:r>
        <w:rPr>
          <w:rFonts w:hint="eastAsia" w:ascii="仿宋" w:hAnsi="仿宋" w:eastAsia="仿宋"/>
          <w:kern w:val="0"/>
          <w:sz w:val="28"/>
          <w:szCs w:val="28"/>
        </w:rPr>
        <w:t>及相关凭证、收款或付款凭证、判决书、调解书、裁定书、孳息或违约金计算说明等主张债权合法有效的书面材料</w:t>
      </w:r>
      <w:r>
        <w:rPr>
          <w:rFonts w:ascii="仿宋" w:hAnsi="仿宋" w:eastAsia="仿宋"/>
          <w:kern w:val="0"/>
          <w:sz w:val="28"/>
          <w:szCs w:val="28"/>
        </w:rPr>
        <w:t>(</w:t>
      </w:r>
      <w:r>
        <w:rPr>
          <w:rFonts w:hint="eastAsia" w:ascii="仿宋" w:hAnsi="仿宋" w:eastAsia="仿宋"/>
          <w:kern w:val="0"/>
          <w:sz w:val="28"/>
          <w:szCs w:val="28"/>
        </w:rPr>
        <w:t>复印件</w:t>
      </w:r>
      <w:r>
        <w:rPr>
          <w:rFonts w:ascii="仿宋" w:hAnsi="仿宋" w:eastAsia="仿宋"/>
          <w:kern w:val="0"/>
          <w:sz w:val="28"/>
          <w:szCs w:val="28"/>
        </w:rPr>
        <w:t>)</w:t>
      </w:r>
      <w:r>
        <w:rPr>
          <w:rFonts w:hint="eastAsia" w:ascii="仿宋" w:hAnsi="仿宋" w:eastAsia="仿宋"/>
          <w:kern w:val="0"/>
          <w:sz w:val="28"/>
          <w:szCs w:val="28"/>
        </w:rPr>
        <w:t>，并将原件提交管理人核对；</w:t>
      </w:r>
    </w:p>
    <w:p w14:paraId="13936611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b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4</w:t>
      </w:r>
      <w:r>
        <w:rPr>
          <w:rFonts w:hint="eastAsia" w:ascii="仿宋" w:hAnsi="仿宋" w:eastAsia="仿宋"/>
          <w:kern w:val="0"/>
          <w:sz w:val="28"/>
          <w:szCs w:val="28"/>
        </w:rPr>
        <w:t>、债权人申报债权时，应在《债权人地址及联系方式确认书》中明确申报人的送达地址、邮编、联系人（收件人）、联系方式等。</w:t>
      </w:r>
    </w:p>
    <w:p w14:paraId="17D86F84">
      <w:pPr>
        <w:widowControl/>
        <w:adjustRightInd w:val="0"/>
        <w:snapToGrid w:val="0"/>
        <w:spacing w:line="360" w:lineRule="auto"/>
        <w:ind w:firstLine="551" w:firstLineChars="196"/>
        <w:textAlignment w:val="baseline"/>
        <w:rPr>
          <w:rFonts w:ascii="仿宋" w:hAnsi="仿宋" w:eastAsia="仿宋"/>
          <w:b/>
          <w:kern w:val="0"/>
          <w:sz w:val="28"/>
          <w:szCs w:val="28"/>
        </w:rPr>
      </w:pPr>
      <w:r>
        <w:rPr>
          <w:rFonts w:hint="eastAsia" w:ascii="仿宋" w:hAnsi="仿宋" w:eastAsia="仿宋"/>
          <w:b/>
          <w:kern w:val="0"/>
          <w:sz w:val="28"/>
          <w:szCs w:val="28"/>
        </w:rPr>
        <w:t>三、注意事项：</w:t>
      </w:r>
    </w:p>
    <w:p w14:paraId="6D83237B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1</w:t>
      </w:r>
      <w:r>
        <w:rPr>
          <w:rFonts w:hint="eastAsia" w:ascii="仿宋" w:hAnsi="仿宋" w:eastAsia="仿宋"/>
          <w:kern w:val="0"/>
          <w:sz w:val="28"/>
          <w:szCs w:val="28"/>
        </w:rPr>
        <w:t>、以上申报材料均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一式三份</w:t>
      </w:r>
      <w:r>
        <w:rPr>
          <w:rFonts w:hint="eastAsia" w:ascii="仿宋" w:hAnsi="仿宋" w:eastAsia="仿宋"/>
          <w:kern w:val="0"/>
          <w:sz w:val="28"/>
          <w:szCs w:val="28"/>
        </w:rPr>
        <w:t>；</w:t>
      </w:r>
    </w:p>
    <w:p w14:paraId="2D38EB9A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2</w:t>
      </w:r>
      <w:r>
        <w:rPr>
          <w:rFonts w:hint="eastAsia" w:ascii="仿宋" w:hAnsi="仿宋" w:eastAsia="仿宋"/>
          <w:kern w:val="0"/>
          <w:sz w:val="28"/>
          <w:szCs w:val="28"/>
        </w:rPr>
        <w:t>、提交材料的纸张规格为</w:t>
      </w:r>
      <w:r>
        <w:rPr>
          <w:rFonts w:ascii="仿宋" w:hAnsi="仿宋" w:eastAsia="仿宋"/>
          <w:kern w:val="0"/>
          <w:sz w:val="28"/>
          <w:szCs w:val="28"/>
        </w:rPr>
        <w:t>A4</w:t>
      </w:r>
      <w:r>
        <w:rPr>
          <w:rFonts w:hint="eastAsia" w:ascii="仿宋" w:hAnsi="仿宋" w:eastAsia="仿宋"/>
          <w:kern w:val="0"/>
          <w:sz w:val="28"/>
          <w:szCs w:val="28"/>
        </w:rPr>
        <w:t>纸；书写均应用蓝墨、或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碳素墨水</w:t>
      </w:r>
      <w:r>
        <w:rPr>
          <w:rFonts w:hint="eastAsia" w:ascii="仿宋" w:hAnsi="仿宋" w:eastAsia="仿宋"/>
          <w:kern w:val="0"/>
          <w:sz w:val="28"/>
          <w:szCs w:val="28"/>
        </w:rPr>
        <w:t>；</w:t>
      </w:r>
    </w:p>
    <w:p w14:paraId="363E4540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3</w:t>
      </w:r>
      <w:r>
        <w:rPr>
          <w:rFonts w:hint="eastAsia" w:ascii="仿宋" w:hAnsi="仿宋" w:eastAsia="仿宋"/>
          <w:kern w:val="0"/>
          <w:sz w:val="28"/>
          <w:szCs w:val="28"/>
        </w:rPr>
        <w:t>、申报孳息或违约金涉及多笔债权的，应当分别列明每笔债权孳息或违约金计算说明；</w:t>
      </w:r>
    </w:p>
    <w:p w14:paraId="1BC2CD20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4</w:t>
      </w:r>
      <w:r>
        <w:rPr>
          <w:rFonts w:hint="eastAsia" w:ascii="仿宋" w:hAnsi="仿宋" w:eastAsia="仿宋"/>
          <w:kern w:val="0"/>
          <w:sz w:val="28"/>
          <w:szCs w:val="28"/>
        </w:rPr>
        <w:t>、债权审核过程中，管理人需要再次审核证据原件的，申报人应根据管理人的要求提交证据原件；</w:t>
      </w:r>
    </w:p>
    <w:p w14:paraId="7D4D4180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5</w:t>
      </w:r>
      <w:r>
        <w:rPr>
          <w:rFonts w:hint="eastAsia" w:ascii="仿宋" w:hAnsi="仿宋" w:eastAsia="仿宋"/>
          <w:kern w:val="0"/>
          <w:sz w:val="28"/>
          <w:szCs w:val="28"/>
        </w:rPr>
        <w:t>、申报时间及地点：法定工作日周一至周五，上午</w:t>
      </w:r>
      <w:r>
        <w:rPr>
          <w:rFonts w:ascii="仿宋" w:hAnsi="仿宋" w:eastAsia="仿宋"/>
          <w:kern w:val="0"/>
          <w:sz w:val="28"/>
          <w:szCs w:val="28"/>
        </w:rPr>
        <w:t>9:00</w:t>
      </w:r>
      <w:r>
        <w:rPr>
          <w:rFonts w:hint="eastAsia" w:ascii="仿宋" w:hAnsi="仿宋" w:eastAsia="仿宋"/>
          <w:kern w:val="0"/>
          <w:sz w:val="28"/>
          <w:szCs w:val="28"/>
        </w:rPr>
        <w:t>～</w:t>
      </w:r>
      <w:r>
        <w:rPr>
          <w:rFonts w:ascii="仿宋" w:hAnsi="仿宋" w:eastAsia="仿宋"/>
          <w:kern w:val="0"/>
          <w:sz w:val="28"/>
          <w:szCs w:val="28"/>
        </w:rPr>
        <w:t>11:30</w:t>
      </w:r>
      <w:r>
        <w:rPr>
          <w:rFonts w:hint="eastAsia" w:ascii="仿宋" w:hAnsi="仿宋" w:eastAsia="仿宋"/>
          <w:kern w:val="0"/>
          <w:sz w:val="28"/>
          <w:szCs w:val="28"/>
        </w:rPr>
        <w:t>，下午2</w:t>
      </w:r>
      <w:r>
        <w:rPr>
          <w:rFonts w:ascii="仿宋" w:hAnsi="仿宋" w:eastAsia="仿宋"/>
          <w:kern w:val="0"/>
          <w:sz w:val="28"/>
          <w:szCs w:val="28"/>
        </w:rPr>
        <w:t>:</w:t>
      </w:r>
      <w:r>
        <w:rPr>
          <w:rFonts w:hint="eastAsia" w:ascii="仿宋" w:hAnsi="仿宋" w:eastAsia="仿宋"/>
          <w:kern w:val="0"/>
          <w:sz w:val="28"/>
          <w:szCs w:val="28"/>
        </w:rPr>
        <w:t>0</w:t>
      </w:r>
      <w:r>
        <w:rPr>
          <w:rFonts w:ascii="仿宋" w:hAnsi="仿宋" w:eastAsia="仿宋"/>
          <w:kern w:val="0"/>
          <w:sz w:val="28"/>
          <w:szCs w:val="28"/>
        </w:rPr>
        <w:t>0</w:t>
      </w:r>
      <w:r>
        <w:rPr>
          <w:rFonts w:hint="eastAsia" w:ascii="仿宋" w:hAnsi="仿宋" w:eastAsia="仿宋"/>
          <w:kern w:val="0"/>
          <w:sz w:val="28"/>
          <w:szCs w:val="28"/>
        </w:rPr>
        <w:t>～</w:t>
      </w:r>
      <w:r>
        <w:rPr>
          <w:rFonts w:ascii="仿宋" w:hAnsi="仿宋" w:eastAsia="仿宋"/>
          <w:kern w:val="0"/>
          <w:sz w:val="28"/>
          <w:szCs w:val="28"/>
        </w:rPr>
        <w:t>5:</w:t>
      </w:r>
      <w:r>
        <w:rPr>
          <w:rFonts w:hint="eastAsia" w:ascii="仿宋" w:hAnsi="仿宋" w:eastAsia="仿宋"/>
          <w:kern w:val="0"/>
          <w:sz w:val="28"/>
          <w:szCs w:val="28"/>
        </w:rPr>
        <w:t>3</w:t>
      </w:r>
      <w:r>
        <w:rPr>
          <w:rFonts w:ascii="仿宋" w:hAnsi="仿宋" w:eastAsia="仿宋"/>
          <w:kern w:val="0"/>
          <w:sz w:val="28"/>
          <w:szCs w:val="28"/>
        </w:rPr>
        <w:t>0</w:t>
      </w:r>
      <w:r>
        <w:rPr>
          <w:rFonts w:hint="eastAsia" w:ascii="仿宋" w:hAnsi="仿宋" w:eastAsia="仿宋"/>
          <w:kern w:val="0"/>
          <w:sz w:val="28"/>
          <w:szCs w:val="28"/>
        </w:rPr>
        <w:t>，浙江省杭州市拱墅区大关路98号绿地中央广场10号楼1001室，邮政编码：</w:t>
      </w:r>
      <w:r>
        <w:rPr>
          <w:rFonts w:ascii="仿宋" w:hAnsi="仿宋" w:eastAsia="仿宋"/>
          <w:sz w:val="28"/>
          <w:szCs w:val="28"/>
        </w:rPr>
        <w:t>31000</w:t>
      </w:r>
      <w:r>
        <w:rPr>
          <w:rFonts w:hint="eastAsia" w:ascii="仿宋" w:hAnsi="仿宋" w:eastAsia="仿宋"/>
          <w:sz w:val="28"/>
          <w:szCs w:val="28"/>
        </w:rPr>
        <w:t>0</w:t>
      </w:r>
      <w:r>
        <w:rPr>
          <w:rFonts w:hint="eastAsia" w:ascii="仿宋" w:hAnsi="仿宋" w:eastAsia="仿宋"/>
          <w:kern w:val="0"/>
          <w:sz w:val="28"/>
          <w:szCs w:val="28"/>
        </w:rPr>
        <w:t>；</w:t>
      </w:r>
    </w:p>
    <w:p w14:paraId="1486A012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>6</w:t>
      </w:r>
      <w:r>
        <w:rPr>
          <w:rFonts w:hint="eastAsia" w:ascii="仿宋" w:hAnsi="仿宋" w:eastAsia="仿宋"/>
          <w:kern w:val="0"/>
          <w:sz w:val="28"/>
          <w:szCs w:val="28"/>
        </w:rPr>
        <w:t>、联系方式：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18458306109</w:t>
      </w:r>
      <w:r>
        <w:rPr>
          <w:rFonts w:hint="eastAsia" w:ascii="仿宋" w:hAnsi="仿宋" w:eastAsia="仿宋"/>
          <w:kern w:val="0"/>
          <w:sz w:val="28"/>
          <w:szCs w:val="28"/>
        </w:rPr>
        <w:t>（李律师）、1</w:t>
      </w:r>
      <w:r>
        <w:rPr>
          <w:rFonts w:ascii="仿宋" w:hAnsi="仿宋" w:eastAsia="仿宋"/>
          <w:kern w:val="0"/>
          <w:sz w:val="28"/>
          <w:szCs w:val="28"/>
        </w:rPr>
        <w:t>8867108662</w:t>
      </w:r>
      <w:r>
        <w:rPr>
          <w:rFonts w:hint="eastAsia" w:ascii="仿宋" w:hAnsi="仿宋" w:eastAsia="仿宋"/>
          <w:kern w:val="0"/>
          <w:sz w:val="28"/>
          <w:szCs w:val="28"/>
        </w:rPr>
        <w:t>（杨律师）</w:t>
      </w:r>
    </w:p>
    <w:p w14:paraId="3BEBBAF8">
      <w:pPr>
        <w:widowControl/>
        <w:adjustRightInd w:val="0"/>
        <w:snapToGrid w:val="0"/>
        <w:spacing w:line="360" w:lineRule="auto"/>
        <w:ind w:firstLine="560" w:firstLineChars="200"/>
        <w:textAlignment w:val="baseline"/>
        <w:rPr>
          <w:rFonts w:ascii="仿宋" w:hAnsi="仿宋" w:eastAsia="仿宋"/>
          <w:kern w:val="0"/>
          <w:sz w:val="28"/>
          <w:szCs w:val="28"/>
        </w:rPr>
      </w:pPr>
    </w:p>
    <w:p w14:paraId="78F9EF94">
      <w:pPr>
        <w:widowControl/>
        <w:adjustRightInd w:val="0"/>
        <w:snapToGrid w:val="0"/>
        <w:spacing w:line="360" w:lineRule="auto"/>
        <w:ind w:firstLine="560" w:firstLineChars="200"/>
        <w:jc w:val="right"/>
        <w:textAlignment w:val="baseline"/>
        <w:rPr>
          <w:rFonts w:ascii="仿宋" w:hAnsi="仿宋" w:eastAsia="仿宋"/>
          <w:kern w:val="0"/>
          <w:sz w:val="28"/>
          <w:szCs w:val="28"/>
        </w:rPr>
      </w:pPr>
    </w:p>
    <w:p w14:paraId="3533EBB0">
      <w:pPr>
        <w:widowControl/>
        <w:adjustRightInd w:val="0"/>
        <w:snapToGrid w:val="0"/>
        <w:spacing w:line="360" w:lineRule="auto"/>
        <w:ind w:firstLine="3080" w:firstLineChars="1100"/>
        <w:jc w:val="right"/>
        <w:textAlignment w:val="baseline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ascii="仿宋" w:hAnsi="仿宋" w:eastAsia="仿宋"/>
          <w:kern w:val="0"/>
          <w:sz w:val="28"/>
          <w:szCs w:val="28"/>
        </w:rPr>
        <w:t xml:space="preserve">  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浙江味觉跳动科技有限公司</w:t>
      </w:r>
      <w:r>
        <w:rPr>
          <w:rFonts w:hint="eastAsia" w:ascii="仿宋" w:hAnsi="仿宋" w:eastAsia="仿宋"/>
          <w:kern w:val="0"/>
          <w:sz w:val="28"/>
          <w:szCs w:val="28"/>
        </w:rPr>
        <w:t>管理人</w:t>
      </w:r>
    </w:p>
    <w:p w14:paraId="313AF36E">
      <w:pPr>
        <w:widowControl/>
        <w:adjustRightInd w:val="0"/>
        <w:snapToGrid w:val="0"/>
        <w:spacing w:line="360" w:lineRule="auto"/>
        <w:ind w:right="420" w:firstLine="3220" w:firstLineChars="1150"/>
        <w:jc w:val="right"/>
        <w:textAlignment w:val="baseline"/>
      </w:pPr>
      <w:r>
        <w:rPr>
          <w:rFonts w:hint="eastAsia" w:ascii="仿宋" w:hAnsi="仿宋" w:eastAsia="仿宋"/>
          <w:sz w:val="28"/>
          <w:szCs w:val="28"/>
          <w:lang w:eastAsia="zh-CN"/>
        </w:rPr>
        <w:t>二〇二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六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五</w:t>
      </w:r>
      <w:bookmarkStart w:id="0" w:name="_GoBack"/>
      <w:bookmarkEnd w:id="0"/>
      <w:r>
        <w:rPr>
          <w:rFonts w:hint="eastAsia" w:ascii="仿宋" w:hAnsi="仿宋" w:eastAsia="仿宋"/>
          <w:sz w:val="28"/>
          <w:szCs w:val="28"/>
          <w:lang w:val="en-US" w:eastAsia="zh-CN"/>
        </w:rPr>
        <w:t>月八</w:t>
      </w:r>
      <w:r>
        <w:rPr>
          <w:rFonts w:hint="eastAsia" w:ascii="仿宋" w:hAnsi="仿宋" w:eastAsia="仿宋"/>
          <w:sz w:val="28"/>
          <w:szCs w:val="28"/>
        </w:rPr>
        <w:t>日</w:t>
      </w:r>
    </w:p>
    <w:sectPr>
      <w:headerReference r:id="rId3" w:type="default"/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D5E1B8">
    <w:pPr>
      <w:pStyle w:val="5"/>
    </w:pPr>
    <w:r>
      <w:rPr>
        <w:rFonts w:hint="eastAsia"/>
        <w:lang w:eastAsia="zh-CN"/>
      </w:rPr>
      <w:t>浙江味觉跳动科技有限公司</w:t>
    </w:r>
    <w:r>
      <w:rPr>
        <w:rFonts w:hint="eastAsia"/>
      </w:rPr>
      <w:t>破产清算案</w:t>
    </w:r>
  </w:p>
  <w:p w14:paraId="1E0B6CCF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RkOTdjZGMxZDFlMDJhNTQyMTg0MGZhNDUyODA0ODYifQ=="/>
  </w:docVars>
  <w:rsids>
    <w:rsidRoot w:val="00877B47"/>
    <w:rsid w:val="00000D18"/>
    <w:rsid w:val="0002747C"/>
    <w:rsid w:val="00027EDA"/>
    <w:rsid w:val="00070E2B"/>
    <w:rsid w:val="00080A3E"/>
    <w:rsid w:val="00094C31"/>
    <w:rsid w:val="000A55E0"/>
    <w:rsid w:val="000B6869"/>
    <w:rsid w:val="000E0E9B"/>
    <w:rsid w:val="001548DB"/>
    <w:rsid w:val="00157392"/>
    <w:rsid w:val="00161D34"/>
    <w:rsid w:val="00192875"/>
    <w:rsid w:val="00197BBD"/>
    <w:rsid w:val="001F02B6"/>
    <w:rsid w:val="001F1940"/>
    <w:rsid w:val="001F71D6"/>
    <w:rsid w:val="00200594"/>
    <w:rsid w:val="00205FA8"/>
    <w:rsid w:val="002179E5"/>
    <w:rsid w:val="002215E4"/>
    <w:rsid w:val="00276C8F"/>
    <w:rsid w:val="00284990"/>
    <w:rsid w:val="00291A33"/>
    <w:rsid w:val="002B561B"/>
    <w:rsid w:val="002C430B"/>
    <w:rsid w:val="002D11E4"/>
    <w:rsid w:val="002E524C"/>
    <w:rsid w:val="002E7C70"/>
    <w:rsid w:val="002F23DD"/>
    <w:rsid w:val="003045AD"/>
    <w:rsid w:val="003409CC"/>
    <w:rsid w:val="00355F38"/>
    <w:rsid w:val="00381907"/>
    <w:rsid w:val="003907C5"/>
    <w:rsid w:val="0039538A"/>
    <w:rsid w:val="00396DC9"/>
    <w:rsid w:val="003A1EC6"/>
    <w:rsid w:val="003B0D7B"/>
    <w:rsid w:val="003B38C3"/>
    <w:rsid w:val="003C74D7"/>
    <w:rsid w:val="003D7789"/>
    <w:rsid w:val="003D7B6E"/>
    <w:rsid w:val="003E1229"/>
    <w:rsid w:val="003E5D12"/>
    <w:rsid w:val="003F3F50"/>
    <w:rsid w:val="00422A9D"/>
    <w:rsid w:val="00472151"/>
    <w:rsid w:val="00490379"/>
    <w:rsid w:val="004A057D"/>
    <w:rsid w:val="004F1BAD"/>
    <w:rsid w:val="00513247"/>
    <w:rsid w:val="00537FB0"/>
    <w:rsid w:val="005464A2"/>
    <w:rsid w:val="00550082"/>
    <w:rsid w:val="00557B74"/>
    <w:rsid w:val="00574954"/>
    <w:rsid w:val="0059164F"/>
    <w:rsid w:val="00591E28"/>
    <w:rsid w:val="005A1135"/>
    <w:rsid w:val="005D64F8"/>
    <w:rsid w:val="005E0855"/>
    <w:rsid w:val="00611CD0"/>
    <w:rsid w:val="0062436E"/>
    <w:rsid w:val="0067477D"/>
    <w:rsid w:val="006B3A78"/>
    <w:rsid w:val="006C4601"/>
    <w:rsid w:val="006D780E"/>
    <w:rsid w:val="006E0865"/>
    <w:rsid w:val="006E7BB9"/>
    <w:rsid w:val="006F29AF"/>
    <w:rsid w:val="00736EAD"/>
    <w:rsid w:val="00754750"/>
    <w:rsid w:val="007707AC"/>
    <w:rsid w:val="00782580"/>
    <w:rsid w:val="007955B7"/>
    <w:rsid w:val="00797F76"/>
    <w:rsid w:val="007C3AB3"/>
    <w:rsid w:val="007E6E75"/>
    <w:rsid w:val="007E7F9E"/>
    <w:rsid w:val="007F7F94"/>
    <w:rsid w:val="00800161"/>
    <w:rsid w:val="00811040"/>
    <w:rsid w:val="00841FE6"/>
    <w:rsid w:val="008546B5"/>
    <w:rsid w:val="00854C61"/>
    <w:rsid w:val="00861B16"/>
    <w:rsid w:val="008642C8"/>
    <w:rsid w:val="00877B47"/>
    <w:rsid w:val="008A0BF1"/>
    <w:rsid w:val="008D3045"/>
    <w:rsid w:val="008D3C8C"/>
    <w:rsid w:val="00902532"/>
    <w:rsid w:val="00913F1A"/>
    <w:rsid w:val="00916C40"/>
    <w:rsid w:val="0092526F"/>
    <w:rsid w:val="0093062D"/>
    <w:rsid w:val="00954755"/>
    <w:rsid w:val="009769DD"/>
    <w:rsid w:val="00977B9D"/>
    <w:rsid w:val="009817B1"/>
    <w:rsid w:val="00991B13"/>
    <w:rsid w:val="009A3982"/>
    <w:rsid w:val="009A50A0"/>
    <w:rsid w:val="009C0344"/>
    <w:rsid w:val="009C137D"/>
    <w:rsid w:val="009E1E20"/>
    <w:rsid w:val="009F1622"/>
    <w:rsid w:val="00A151D9"/>
    <w:rsid w:val="00A23D19"/>
    <w:rsid w:val="00A34392"/>
    <w:rsid w:val="00A50C11"/>
    <w:rsid w:val="00A86579"/>
    <w:rsid w:val="00A914C2"/>
    <w:rsid w:val="00A961D3"/>
    <w:rsid w:val="00AB046E"/>
    <w:rsid w:val="00AD1F11"/>
    <w:rsid w:val="00AE3C84"/>
    <w:rsid w:val="00AE639B"/>
    <w:rsid w:val="00AE66C8"/>
    <w:rsid w:val="00B45E40"/>
    <w:rsid w:val="00B94288"/>
    <w:rsid w:val="00BA2E3C"/>
    <w:rsid w:val="00BB7716"/>
    <w:rsid w:val="00BC0723"/>
    <w:rsid w:val="00BE684E"/>
    <w:rsid w:val="00BF41B0"/>
    <w:rsid w:val="00C009C1"/>
    <w:rsid w:val="00C30715"/>
    <w:rsid w:val="00C54595"/>
    <w:rsid w:val="00C96596"/>
    <w:rsid w:val="00CA0D4D"/>
    <w:rsid w:val="00CA3466"/>
    <w:rsid w:val="00CC01A8"/>
    <w:rsid w:val="00CE162F"/>
    <w:rsid w:val="00D13A3A"/>
    <w:rsid w:val="00D57230"/>
    <w:rsid w:val="00D60313"/>
    <w:rsid w:val="00D60CC8"/>
    <w:rsid w:val="00D802E7"/>
    <w:rsid w:val="00DA010B"/>
    <w:rsid w:val="00DD174B"/>
    <w:rsid w:val="00DD6A7B"/>
    <w:rsid w:val="00DF08B8"/>
    <w:rsid w:val="00E000D4"/>
    <w:rsid w:val="00E02522"/>
    <w:rsid w:val="00E34866"/>
    <w:rsid w:val="00E42F11"/>
    <w:rsid w:val="00E71A91"/>
    <w:rsid w:val="00E97333"/>
    <w:rsid w:val="00EB07B6"/>
    <w:rsid w:val="00EE5616"/>
    <w:rsid w:val="00EF051B"/>
    <w:rsid w:val="00F315D1"/>
    <w:rsid w:val="00F41B29"/>
    <w:rsid w:val="00F51C7C"/>
    <w:rsid w:val="00F62680"/>
    <w:rsid w:val="00F64173"/>
    <w:rsid w:val="00F76537"/>
    <w:rsid w:val="00F96146"/>
    <w:rsid w:val="00FF7814"/>
    <w:rsid w:val="056228EF"/>
    <w:rsid w:val="0A816718"/>
    <w:rsid w:val="0C0B638D"/>
    <w:rsid w:val="0E0C3E45"/>
    <w:rsid w:val="0EF75161"/>
    <w:rsid w:val="126A4E1F"/>
    <w:rsid w:val="12C0002A"/>
    <w:rsid w:val="141A0917"/>
    <w:rsid w:val="19A624F3"/>
    <w:rsid w:val="1F6E3CDF"/>
    <w:rsid w:val="21082093"/>
    <w:rsid w:val="25750D53"/>
    <w:rsid w:val="25767BC8"/>
    <w:rsid w:val="2775160A"/>
    <w:rsid w:val="2ADF6D9B"/>
    <w:rsid w:val="2B375489"/>
    <w:rsid w:val="2D1D1DFB"/>
    <w:rsid w:val="2DA1353C"/>
    <w:rsid w:val="34A80041"/>
    <w:rsid w:val="35E1465A"/>
    <w:rsid w:val="372854A0"/>
    <w:rsid w:val="3C1027A1"/>
    <w:rsid w:val="3C607F1C"/>
    <w:rsid w:val="3E9353DE"/>
    <w:rsid w:val="411300F1"/>
    <w:rsid w:val="460346B5"/>
    <w:rsid w:val="49BA1170"/>
    <w:rsid w:val="4A1604BE"/>
    <w:rsid w:val="4A6B545A"/>
    <w:rsid w:val="4D3B0630"/>
    <w:rsid w:val="504F6F98"/>
    <w:rsid w:val="517A23DE"/>
    <w:rsid w:val="53E43A40"/>
    <w:rsid w:val="53EF3C57"/>
    <w:rsid w:val="5B065E06"/>
    <w:rsid w:val="5B3153A1"/>
    <w:rsid w:val="5BF761FF"/>
    <w:rsid w:val="60BE4432"/>
    <w:rsid w:val="60E7211E"/>
    <w:rsid w:val="62E15B38"/>
    <w:rsid w:val="638450F6"/>
    <w:rsid w:val="63D14EF7"/>
    <w:rsid w:val="67315902"/>
    <w:rsid w:val="68337369"/>
    <w:rsid w:val="68465B7C"/>
    <w:rsid w:val="68BF70CE"/>
    <w:rsid w:val="6A18591D"/>
    <w:rsid w:val="73FD5EAB"/>
    <w:rsid w:val="756957B0"/>
    <w:rsid w:val="767F35CA"/>
    <w:rsid w:val="7F106A5F"/>
    <w:rsid w:val="7F8E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semiHidden/>
    <w:qFormat/>
    <w:uiPriority w:val="99"/>
    <w:pPr>
      <w:jc w:val="left"/>
    </w:pPr>
  </w:style>
  <w:style w:type="paragraph" w:styleId="3">
    <w:name w:val="Balloon Text"/>
    <w:basedOn w:val="1"/>
    <w:link w:val="13"/>
    <w:semiHidden/>
    <w:qFormat/>
    <w:uiPriority w:val="99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5"/>
    <w:semiHidden/>
    <w:qFormat/>
    <w:uiPriority w:val="99"/>
    <w:rPr>
      <w:b/>
      <w:bCs/>
    </w:rPr>
  </w:style>
  <w:style w:type="character" w:styleId="9">
    <w:name w:val="Hyperlink"/>
    <w:qFormat/>
    <w:uiPriority w:val="99"/>
    <w:rPr>
      <w:rFonts w:cs="Times New Roman"/>
      <w:color w:val="0000FF"/>
      <w:u w:val="single"/>
    </w:rPr>
  </w:style>
  <w:style w:type="character" w:styleId="10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1">
    <w:name w:val="页眉 字符"/>
    <w:link w:val="5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字符"/>
    <w:link w:val="4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批注框文本 字符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批注文字 字符"/>
    <w:link w:val="2"/>
    <w:semiHidden/>
    <w:qFormat/>
    <w:locked/>
    <w:uiPriority w:val="99"/>
    <w:rPr>
      <w:rFonts w:ascii="Times New Roman" w:hAnsi="Times New Roman" w:eastAsia="宋体" w:cs="Times New Roman"/>
      <w:sz w:val="20"/>
      <w:szCs w:val="20"/>
    </w:rPr>
  </w:style>
  <w:style w:type="character" w:customStyle="1" w:styleId="15">
    <w:name w:val="批注主题 字符"/>
    <w:link w:val="6"/>
    <w:semiHidden/>
    <w:qFormat/>
    <w:locked/>
    <w:uiPriority w:val="99"/>
    <w:rPr>
      <w:rFonts w:ascii="Times New Roman" w:hAnsi="Times New Roman" w:eastAsia="宋体" w:cs="Times New Roman"/>
      <w:b/>
      <w:bCs/>
      <w:sz w:val="20"/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DG</Company>
  <Pages>3</Pages>
  <Words>1479</Words>
  <Characters>1544</Characters>
  <Lines>11</Lines>
  <Paragraphs>3</Paragraphs>
  <TotalTime>0</TotalTime>
  <ScaleCrop>false</ScaleCrop>
  <LinksUpToDate>false</LinksUpToDate>
  <CharactersWithSpaces>1552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2021-11-25T08:18:00Z</dcterms:created>
  <dc:creator>马健</dc:creator>
  <cp:lastModifiedBy>Z</cp:lastModifiedBy>
  <cp:lastPrinted>2025-06-10T08:46:00Z</cp:lastPrinted>
  <dcterms:modified xsi:type="dcterms:W3CDTF">2026-05-15T16:22:37Z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0104736CE3F443BD8F4E8D8C1BE563DD_13</vt:lpwstr>
  </property>
  <property fmtid="{D5CDD505-2E9C-101B-9397-08002B2CF9AE}" pid="4" name="KSOTemplateDocerSaveRecord">
    <vt:lpwstr>eyJoZGlkIjoiYTFmOGRlOTRmZmE2M2UzZWZjOTc1YWJkOGI0NWU5NDQiLCJ1c2VySWQiOiIyNDA4MTgyOTMifQ==</vt:lpwstr>
  </property>
</Properties>
</file>