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BD2B" w14:textId="77508CBD" w:rsidR="00EB706C" w:rsidRDefault="00EB1095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</w:p>
    <w:p w14:paraId="193EBD2C" w14:textId="4A236A2D" w:rsidR="00EB706C" w:rsidRDefault="00EB1095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上海吉盛伟邦绿地国际家具村市场经营管理有限公司</w:t>
      </w:r>
    </w:p>
    <w:p w14:paraId="193EBD2D" w14:textId="77777777" w:rsidR="00EB706C" w:rsidRDefault="00EB1095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意向投资人报名意向书</w:t>
      </w:r>
    </w:p>
    <w:p w14:paraId="193EBD2E" w14:textId="77777777" w:rsidR="00EB706C" w:rsidRDefault="00EB706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93EBD2F" w14:textId="68341C34" w:rsidR="00EB706C" w:rsidRDefault="00EB109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上海吉盛伟邦绿地国际家具村市场经营管理有限公司</w:t>
      </w:r>
      <w:r>
        <w:rPr>
          <w:rFonts w:ascii="Times New Roman" w:eastAsia="宋体" w:hAnsi="Times New Roman" w:cs="Times New Roman"/>
          <w:sz w:val="24"/>
          <w:szCs w:val="24"/>
        </w:rPr>
        <w:t>管理人：</w:t>
      </w:r>
    </w:p>
    <w:p w14:paraId="193EBD30" w14:textId="44CF168D" w:rsidR="00EB706C" w:rsidRDefault="00EB109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本参选机构已充分知悉并了解《</w:t>
      </w:r>
      <w:r>
        <w:rPr>
          <w:rFonts w:ascii="Times New Roman" w:eastAsia="宋体" w:hAnsi="Times New Roman" w:cs="Times New Roman" w:hint="eastAsia"/>
          <w:sz w:val="24"/>
          <w:szCs w:val="24"/>
        </w:rPr>
        <w:t>上海吉盛伟邦绿地国际家具村市场经营管理有限公司</w:t>
      </w:r>
      <w:r>
        <w:rPr>
          <w:rFonts w:ascii="Times New Roman" w:eastAsia="宋体" w:hAnsi="Times New Roman" w:cs="Times New Roman"/>
          <w:sz w:val="24"/>
          <w:szCs w:val="24"/>
        </w:rPr>
        <w:t>意向投资人</w:t>
      </w:r>
      <w:r>
        <w:rPr>
          <w:rFonts w:ascii="Times New Roman" w:eastAsia="宋体" w:hAnsi="Times New Roman" w:cs="Times New Roman" w:hint="eastAsia"/>
          <w:sz w:val="24"/>
          <w:szCs w:val="24"/>
        </w:rPr>
        <w:t>预</w:t>
      </w:r>
      <w:r>
        <w:rPr>
          <w:rFonts w:ascii="Times New Roman" w:eastAsia="宋体" w:hAnsi="Times New Roman" w:cs="Times New Roman"/>
          <w:sz w:val="24"/>
          <w:szCs w:val="24"/>
        </w:rPr>
        <w:t>招募公告》的内容，承诺符合该公告所要求的意向投资人报名条件。本参选机构所提交的报名材料均真实、合法、有效，且不存在重大隐瞒或遗漏，本参选机构自愿参与</w:t>
      </w:r>
      <w:r>
        <w:rPr>
          <w:rFonts w:ascii="Times New Roman" w:eastAsia="宋体" w:hAnsi="Times New Roman" w:cs="Times New Roman" w:hint="eastAsia"/>
          <w:sz w:val="24"/>
          <w:szCs w:val="24"/>
        </w:rPr>
        <w:t>上海吉盛伟邦绿地国际家具村市场经营管理有限公司</w:t>
      </w:r>
      <w:r>
        <w:rPr>
          <w:rFonts w:ascii="Times New Roman" w:eastAsia="宋体" w:hAnsi="Times New Roman" w:cs="Times New Roman"/>
          <w:sz w:val="24"/>
          <w:szCs w:val="24"/>
        </w:rPr>
        <w:t>意向投资人的</w:t>
      </w:r>
      <w:r>
        <w:rPr>
          <w:rFonts w:ascii="Times New Roman" w:eastAsia="宋体" w:hAnsi="Times New Roman" w:cs="Times New Roman" w:hint="eastAsia"/>
          <w:sz w:val="24"/>
          <w:szCs w:val="24"/>
        </w:rPr>
        <w:t>预</w:t>
      </w:r>
      <w:r>
        <w:rPr>
          <w:rFonts w:ascii="Times New Roman" w:eastAsia="宋体" w:hAnsi="Times New Roman" w:cs="Times New Roman"/>
          <w:sz w:val="24"/>
          <w:szCs w:val="24"/>
        </w:rPr>
        <w:t>招募程序，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遵照管理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人要求开展投资人</w:t>
      </w:r>
      <w:r>
        <w:rPr>
          <w:rFonts w:ascii="Times New Roman" w:eastAsia="宋体" w:hAnsi="Times New Roman" w:cs="Times New Roman" w:hint="eastAsia"/>
          <w:sz w:val="24"/>
          <w:szCs w:val="24"/>
        </w:rPr>
        <w:t>预</w:t>
      </w:r>
      <w:r>
        <w:rPr>
          <w:rFonts w:ascii="Times New Roman" w:eastAsia="宋体" w:hAnsi="Times New Roman" w:cs="Times New Roman"/>
          <w:sz w:val="24"/>
          <w:szCs w:val="24"/>
        </w:rPr>
        <w:t>招募程序，并自行承担一切责任与风险。</w:t>
      </w:r>
      <w:r>
        <w:rPr>
          <w:rFonts w:ascii="Times New Roman" w:eastAsia="宋体" w:hAnsi="Times New Roman" w:cs="Times New Roman" w:hint="eastAsia"/>
          <w:sz w:val="24"/>
          <w:szCs w:val="24"/>
        </w:rPr>
        <w:t>本参选机构认可并履行管理人发布的</w:t>
      </w:r>
      <w:r>
        <w:rPr>
          <w:rFonts w:ascii="Times New Roman" w:eastAsia="宋体" w:hAnsi="Times New Roman" w:cs="Times New Roman" w:hint="eastAsia"/>
          <w:sz w:val="24"/>
          <w:szCs w:val="24"/>
        </w:rPr>
        <w:t>预</w:t>
      </w:r>
      <w:r>
        <w:rPr>
          <w:rFonts w:ascii="Times New Roman" w:eastAsia="宋体" w:hAnsi="Times New Roman" w:cs="Times New Roman" w:hint="eastAsia"/>
          <w:sz w:val="24"/>
          <w:szCs w:val="24"/>
        </w:rPr>
        <w:t>招募公告中确定的招募流程、保证金处理条款等所有内容，知悉保证金存放于管理人账户期间不计付利息和其他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孳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息，并自愿接受管理人按照</w:t>
      </w:r>
      <w:r>
        <w:rPr>
          <w:rFonts w:ascii="Times New Roman" w:eastAsia="宋体" w:hAnsi="Times New Roman" w:cs="Times New Roman" w:hint="eastAsia"/>
          <w:sz w:val="24"/>
          <w:szCs w:val="24"/>
        </w:rPr>
        <w:t>预</w:t>
      </w:r>
      <w:r>
        <w:rPr>
          <w:rFonts w:ascii="Times New Roman" w:eastAsia="宋体" w:hAnsi="Times New Roman" w:cs="Times New Roman" w:hint="eastAsia"/>
          <w:sz w:val="24"/>
          <w:szCs w:val="24"/>
        </w:rPr>
        <w:t>招募公告的规定没收本参选机构缴纳的保证金。</w:t>
      </w:r>
    </w:p>
    <w:p w14:paraId="193EBD31" w14:textId="77777777" w:rsidR="00EB706C" w:rsidRDefault="00EB109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本参选机构的名称及联系方式</w:t>
      </w:r>
      <w:r>
        <w:rPr>
          <w:rFonts w:ascii="Times New Roman" w:eastAsia="宋体" w:hAnsi="Times New Roman" w:cs="Times New Roman" w:hint="eastAsia"/>
          <w:sz w:val="24"/>
          <w:szCs w:val="24"/>
        </w:rPr>
        <w:t>以及保证金退还收款账户信息</w:t>
      </w:r>
      <w:r>
        <w:rPr>
          <w:rFonts w:ascii="Times New Roman" w:eastAsia="宋体" w:hAnsi="Times New Roman" w:cs="Times New Roman"/>
          <w:sz w:val="24"/>
          <w:szCs w:val="24"/>
        </w:rPr>
        <w:t>如下：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EB706C" w14:paraId="193EBD34" w14:textId="77777777">
        <w:tc>
          <w:tcPr>
            <w:tcW w:w="1838" w:type="dxa"/>
            <w:vAlign w:val="center"/>
          </w:tcPr>
          <w:p w14:paraId="193EBD32" w14:textId="77777777" w:rsidR="00EB706C" w:rsidRDefault="00EB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6458" w:type="dxa"/>
          </w:tcPr>
          <w:p w14:paraId="193EBD33" w14:textId="77777777" w:rsidR="00EB706C" w:rsidRDefault="00EB70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706C" w14:paraId="193EBD37" w14:textId="77777777">
        <w:tc>
          <w:tcPr>
            <w:tcW w:w="1838" w:type="dxa"/>
            <w:vAlign w:val="center"/>
          </w:tcPr>
          <w:p w14:paraId="193EBD35" w14:textId="77777777" w:rsidR="00EB706C" w:rsidRDefault="00EB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458" w:type="dxa"/>
          </w:tcPr>
          <w:p w14:paraId="193EBD36" w14:textId="77777777" w:rsidR="00EB706C" w:rsidRDefault="00EB70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706C" w14:paraId="193EBD3A" w14:textId="77777777">
        <w:tc>
          <w:tcPr>
            <w:tcW w:w="1838" w:type="dxa"/>
            <w:vAlign w:val="center"/>
          </w:tcPr>
          <w:p w14:paraId="193EBD38" w14:textId="77777777" w:rsidR="00EB706C" w:rsidRDefault="00EB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6458" w:type="dxa"/>
          </w:tcPr>
          <w:p w14:paraId="193EBD39" w14:textId="77777777" w:rsidR="00EB706C" w:rsidRDefault="00EB70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706C" w14:paraId="193EBD3D" w14:textId="77777777">
        <w:tc>
          <w:tcPr>
            <w:tcW w:w="1838" w:type="dxa"/>
            <w:vAlign w:val="center"/>
          </w:tcPr>
          <w:p w14:paraId="193EBD3B" w14:textId="77777777" w:rsidR="00EB706C" w:rsidRDefault="00EB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6458" w:type="dxa"/>
          </w:tcPr>
          <w:p w14:paraId="193EBD3C" w14:textId="77777777" w:rsidR="00EB706C" w:rsidRDefault="00EB706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706C" w14:paraId="193EBD40" w14:textId="77777777">
        <w:tc>
          <w:tcPr>
            <w:tcW w:w="1838" w:type="dxa"/>
            <w:vMerge w:val="restart"/>
            <w:vAlign w:val="center"/>
          </w:tcPr>
          <w:p w14:paraId="193EBD3E" w14:textId="77777777" w:rsidR="00EB706C" w:rsidRDefault="00EB109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银行账户信息（用于退还保证金使用）</w:t>
            </w:r>
          </w:p>
        </w:tc>
        <w:tc>
          <w:tcPr>
            <w:tcW w:w="6458" w:type="dxa"/>
          </w:tcPr>
          <w:p w14:paraId="193EBD3F" w14:textId="77777777" w:rsidR="00EB706C" w:rsidRDefault="00EB109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开户名称：</w:t>
            </w:r>
          </w:p>
        </w:tc>
      </w:tr>
      <w:tr w:rsidR="00EB706C" w14:paraId="193EBD43" w14:textId="77777777">
        <w:tc>
          <w:tcPr>
            <w:tcW w:w="1838" w:type="dxa"/>
            <w:vMerge/>
            <w:vAlign w:val="center"/>
          </w:tcPr>
          <w:p w14:paraId="193EBD41" w14:textId="77777777" w:rsidR="00EB706C" w:rsidRDefault="00EB70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193EBD42" w14:textId="77777777" w:rsidR="00EB706C" w:rsidRDefault="00EB109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账号：</w:t>
            </w:r>
          </w:p>
        </w:tc>
      </w:tr>
      <w:tr w:rsidR="00EB706C" w14:paraId="193EBD46" w14:textId="77777777">
        <w:tc>
          <w:tcPr>
            <w:tcW w:w="1838" w:type="dxa"/>
            <w:vMerge/>
            <w:vAlign w:val="center"/>
          </w:tcPr>
          <w:p w14:paraId="193EBD44" w14:textId="77777777" w:rsidR="00EB706C" w:rsidRDefault="00EB70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193EBD45" w14:textId="77777777" w:rsidR="00EB706C" w:rsidRDefault="00EB109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开户行：</w:t>
            </w:r>
          </w:p>
        </w:tc>
      </w:tr>
    </w:tbl>
    <w:p w14:paraId="193EBD47" w14:textId="77777777" w:rsidR="00EB706C" w:rsidRDefault="00EB706C">
      <w:pPr>
        <w:spacing w:line="360" w:lineRule="auto"/>
        <w:contextualSpacing/>
        <w:rPr>
          <w:rFonts w:ascii="Times New Roman" w:eastAsia="宋体" w:hAnsi="Times New Roman" w:cs="Times New Roman"/>
          <w:sz w:val="24"/>
        </w:rPr>
      </w:pPr>
    </w:p>
    <w:tbl>
      <w:tblPr>
        <w:tblW w:w="8699" w:type="dxa"/>
        <w:tblLook w:val="04A0" w:firstRow="1" w:lastRow="0" w:firstColumn="1" w:lastColumn="0" w:noHBand="0" w:noVBand="1"/>
      </w:tblPr>
      <w:tblGrid>
        <w:gridCol w:w="3686"/>
        <w:gridCol w:w="5013"/>
      </w:tblGrid>
      <w:tr w:rsidR="00EB706C" w:rsidRPr="00EB1095" w14:paraId="193EBD4D" w14:textId="77777777">
        <w:trPr>
          <w:trHeight w:val="1186"/>
        </w:trPr>
        <w:tc>
          <w:tcPr>
            <w:tcW w:w="3686" w:type="dxa"/>
          </w:tcPr>
          <w:p w14:paraId="193EBD48" w14:textId="77777777" w:rsidR="00EB706C" w:rsidRPr="00EB1095" w:rsidRDefault="00EB706C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013" w:type="dxa"/>
          </w:tcPr>
          <w:p w14:paraId="193EBD49" w14:textId="2AB84110" w:rsidR="00EB706C" w:rsidRPr="00EB1095" w:rsidRDefault="00EB1095">
            <w:pPr>
              <w:spacing w:line="360" w:lineRule="auto"/>
              <w:ind w:right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1095">
              <w:rPr>
                <w:rFonts w:ascii="Times New Roman" w:eastAsia="宋体" w:hAnsi="Times New Roman" w:cs="Times New Roman"/>
                <w:sz w:val="24"/>
                <w:szCs w:val="24"/>
              </w:rPr>
              <w:t>意向投资人</w:t>
            </w:r>
            <w:r w:rsidR="00E87BF3" w:rsidRPr="00EB1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  <w:r w:rsidRPr="00EB1095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14:paraId="193EBD4A" w14:textId="77777777" w:rsidR="00EB706C" w:rsidRPr="00EB1095" w:rsidRDefault="00EB706C">
            <w:pPr>
              <w:spacing w:line="360" w:lineRule="auto"/>
              <w:ind w:right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93EBD4B" w14:textId="54C24D04" w:rsidR="00EB706C" w:rsidRPr="00EB1095" w:rsidRDefault="00EB1095">
            <w:pPr>
              <w:spacing w:line="360" w:lineRule="auto"/>
              <w:ind w:right="960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EB1095">
              <w:rPr>
                <w:rFonts w:ascii="Times New Roman" w:eastAsia="宋体" w:hAnsi="Times New Roman" w:cs="Times New Roman"/>
                <w:sz w:val="24"/>
                <w:szCs w:val="24"/>
              </w:rPr>
              <w:t>法定代表人</w:t>
            </w:r>
            <w:r w:rsidR="00E87BF3" w:rsidRPr="00EB1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（负责人）</w:t>
            </w:r>
            <w:r w:rsidRPr="00EB1095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EB1095">
              <w:rPr>
                <w:rFonts w:ascii="Times New Roman" w:eastAsia="宋体" w:hAnsi="Times New Roman" w:cs="Times New Roman"/>
                <w:sz w:val="24"/>
                <w:szCs w:val="24"/>
              </w:rPr>
              <w:t>授权代表签字：</w:t>
            </w:r>
          </w:p>
          <w:p w14:paraId="193EBD4C" w14:textId="77777777" w:rsidR="00EB706C" w:rsidRPr="00EB1095" w:rsidRDefault="00EB1095">
            <w:pPr>
              <w:spacing w:line="360" w:lineRule="auto"/>
              <w:ind w:right="960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EB1095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</w:t>
            </w:r>
            <w:r w:rsidRPr="00EB1095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  </w:t>
            </w:r>
            <w:r w:rsidRPr="00EB1095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日期：</w:t>
            </w:r>
          </w:p>
        </w:tc>
      </w:tr>
    </w:tbl>
    <w:p w14:paraId="193EBD4E" w14:textId="77777777" w:rsidR="00EB706C" w:rsidRDefault="00EB706C" w:rsidP="00E87BF3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</w:p>
    <w:sectPr w:rsidR="00EB7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61"/>
    <w:rsid w:val="0006381B"/>
    <w:rsid w:val="000914E0"/>
    <w:rsid w:val="000C01EB"/>
    <w:rsid w:val="0012157F"/>
    <w:rsid w:val="001F545A"/>
    <w:rsid w:val="002A7FAA"/>
    <w:rsid w:val="002D2E80"/>
    <w:rsid w:val="002D4575"/>
    <w:rsid w:val="00321B7C"/>
    <w:rsid w:val="00357539"/>
    <w:rsid w:val="0037223E"/>
    <w:rsid w:val="00380EBD"/>
    <w:rsid w:val="00395493"/>
    <w:rsid w:val="0043780F"/>
    <w:rsid w:val="004A091C"/>
    <w:rsid w:val="004B34EF"/>
    <w:rsid w:val="005A615F"/>
    <w:rsid w:val="006D4817"/>
    <w:rsid w:val="00764308"/>
    <w:rsid w:val="00792CAF"/>
    <w:rsid w:val="007F124E"/>
    <w:rsid w:val="007F7009"/>
    <w:rsid w:val="007F7690"/>
    <w:rsid w:val="00866358"/>
    <w:rsid w:val="009F624E"/>
    <w:rsid w:val="00A26248"/>
    <w:rsid w:val="00A7241D"/>
    <w:rsid w:val="00A87400"/>
    <w:rsid w:val="00B02E9D"/>
    <w:rsid w:val="00B0398B"/>
    <w:rsid w:val="00B8439A"/>
    <w:rsid w:val="00BB3B47"/>
    <w:rsid w:val="00BE779C"/>
    <w:rsid w:val="00C10C7D"/>
    <w:rsid w:val="00C71967"/>
    <w:rsid w:val="00C8050E"/>
    <w:rsid w:val="00CD2EDA"/>
    <w:rsid w:val="00CE0A76"/>
    <w:rsid w:val="00CF1AF2"/>
    <w:rsid w:val="00D058BD"/>
    <w:rsid w:val="00D61A4E"/>
    <w:rsid w:val="00D80AB4"/>
    <w:rsid w:val="00D967F2"/>
    <w:rsid w:val="00E2726F"/>
    <w:rsid w:val="00E424D6"/>
    <w:rsid w:val="00E87BF3"/>
    <w:rsid w:val="00EB1095"/>
    <w:rsid w:val="00EB706C"/>
    <w:rsid w:val="00EC679C"/>
    <w:rsid w:val="00ED27A6"/>
    <w:rsid w:val="00F526D8"/>
    <w:rsid w:val="00F635F5"/>
    <w:rsid w:val="00F867E6"/>
    <w:rsid w:val="00F96061"/>
    <w:rsid w:val="00FC21DA"/>
    <w:rsid w:val="00FD2637"/>
    <w:rsid w:val="00FD3D4B"/>
    <w:rsid w:val="2DA9516C"/>
    <w:rsid w:val="6350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BD2B"/>
  <w15:docId w15:val="{AAD15483-BC3B-4F2F-98D6-E3978027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3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EDB3-1DB3-4905-B267-39432E7751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CAI, Luying /ZL</cp:lastModifiedBy>
  <cp:revision>36</cp:revision>
  <dcterms:created xsi:type="dcterms:W3CDTF">2025-04-24T11:06:00Z</dcterms:created>
  <dcterms:modified xsi:type="dcterms:W3CDTF">2026-05-13T10:07:00Z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eyJoZGlkIjoiNjcyYmNiN2RiYzVkYjkzMWRiM2RlZWMyNzQwNWNjYzgiLCJ1c2VySWQiOiI2OTM4NDgwOTgifQ==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DD219FB5A674439BA45A0F7D8FFFA1F6_12</vt:lpwstr>
  </property>
</Properties>
</file>