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DBA86">
      <w:pPr>
        <w:widowControl/>
        <w:spacing w:before="100" w:beforeAutospacing="1" w:after="100" w:afterAutospacing="1" w:line="750" w:lineRule="atLeast"/>
        <w:outlineLvl w:val="0"/>
        <w:rPr>
          <w:rFonts w:ascii="宋体" w:hAnsi="宋体" w:cs="宋体"/>
          <w:b/>
          <w:bCs/>
          <w:color w:val="333333"/>
          <w:kern w:val="36"/>
          <w:sz w:val="24"/>
          <w:szCs w:val="24"/>
        </w:rPr>
      </w:pPr>
      <w:r>
        <w:rPr>
          <w:rFonts w:hint="eastAsia" w:ascii="宋体" w:hAnsi="宋体" w:cs="宋体"/>
          <w:b/>
          <w:bCs/>
          <w:color w:val="333333"/>
          <w:kern w:val="36"/>
          <w:sz w:val="24"/>
          <w:szCs w:val="24"/>
        </w:rPr>
        <w:t>附件一</w:t>
      </w:r>
    </w:p>
    <w:p w14:paraId="1AE6032A">
      <w:pPr>
        <w:widowControl/>
        <w:spacing w:after="100" w:afterAutospacing="1" w:line="0" w:lineRule="atLeast"/>
        <w:ind w:firstLine="301" w:firstLineChars="100"/>
        <w:jc w:val="center"/>
        <w:outlineLvl w:val="0"/>
        <w:rPr>
          <w:rFonts w:ascii="宋体" w:hAnsi="宋体" w:cs="宋体"/>
          <w:b/>
          <w:bCs/>
          <w:color w:val="333333"/>
          <w:kern w:val="36"/>
          <w:sz w:val="30"/>
          <w:szCs w:val="30"/>
        </w:rPr>
      </w:pPr>
      <w:r>
        <w:rPr>
          <w:rFonts w:hint="eastAsia" w:ascii="宋体" w:hAnsi="宋体" w:cs="宋体"/>
          <w:b/>
          <w:bCs/>
          <w:color w:val="333333"/>
          <w:kern w:val="36"/>
          <w:sz w:val="30"/>
          <w:szCs w:val="30"/>
          <w:lang w:val="en-US" w:eastAsia="zh-CN"/>
        </w:rPr>
        <w:t>确山县三农经济发展有限公司强制清算</w:t>
      </w:r>
      <w:bookmarkStart w:id="0" w:name="_GoBack"/>
      <w:bookmarkEnd w:id="0"/>
      <w:r>
        <w:rPr>
          <w:rFonts w:hint="eastAsia" w:ascii="宋体" w:hAnsi="宋体" w:cs="宋体"/>
          <w:b/>
          <w:bCs/>
          <w:color w:val="333333"/>
          <w:kern w:val="36"/>
          <w:sz w:val="30"/>
          <w:szCs w:val="30"/>
        </w:rPr>
        <w:t>债权申报</w:t>
      </w:r>
    </w:p>
    <w:p w14:paraId="16B46421">
      <w:pPr>
        <w:widowControl/>
        <w:spacing w:after="100" w:afterAutospacing="1" w:line="0" w:lineRule="atLeast"/>
        <w:ind w:firstLine="301" w:firstLineChars="100"/>
        <w:jc w:val="center"/>
        <w:outlineLvl w:val="0"/>
        <w:rPr>
          <w:rFonts w:ascii="宋体" w:hAnsi="宋体" w:cs="宋体"/>
          <w:b/>
          <w:bCs/>
          <w:color w:val="333333"/>
          <w:kern w:val="0"/>
          <w:sz w:val="30"/>
          <w:szCs w:val="30"/>
        </w:rPr>
      </w:pPr>
      <w:r>
        <w:rPr>
          <w:rFonts w:hint="eastAsia" w:ascii="宋体" w:hAnsi="宋体" w:cs="宋体"/>
          <w:b/>
          <w:bCs/>
          <w:color w:val="333333"/>
          <w:kern w:val="36"/>
          <w:sz w:val="30"/>
          <w:szCs w:val="30"/>
        </w:rPr>
        <w:t>填写规则及注意事项</w:t>
      </w:r>
    </w:p>
    <w:p w14:paraId="72AEE61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color w:val="333333"/>
          <w:kern w:val="0"/>
          <w:sz w:val="28"/>
          <w:szCs w:val="28"/>
        </w:rPr>
      </w:pPr>
      <w:r>
        <w:rPr>
          <w:rFonts w:hint="eastAsia" w:ascii="仿宋" w:hAnsi="仿宋" w:eastAsia="仿宋" w:cs="仿宋"/>
          <w:b/>
          <w:color w:val="333333"/>
          <w:kern w:val="0"/>
          <w:sz w:val="28"/>
          <w:szCs w:val="28"/>
        </w:rPr>
        <w:t>各债权申报人：</w:t>
      </w:r>
    </w:p>
    <w:p w14:paraId="1F9A2A1A">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根据《中华人民共和国企业破产法》的规定，结合人民法院《债权申报公告》的要求，现就</w:t>
      </w:r>
      <w:r>
        <w:rPr>
          <w:rFonts w:hint="eastAsia" w:ascii="仿宋" w:hAnsi="仿宋" w:eastAsia="仿宋" w:cs="仿宋"/>
          <w:color w:val="333333"/>
          <w:kern w:val="0"/>
          <w:sz w:val="28"/>
          <w:szCs w:val="28"/>
          <w:lang w:val="en-US" w:eastAsia="zh-CN"/>
        </w:rPr>
        <w:t>确山县三农经济发展有限公司（统一社会信用代码：</w:t>
      </w:r>
      <w:r>
        <w:rPr>
          <w:rFonts w:hint="eastAsia" w:ascii="仿宋" w:hAnsi="仿宋" w:eastAsia="仿宋" w:cs="仿宋"/>
          <w:color w:val="333333"/>
          <w:kern w:val="0"/>
          <w:sz w:val="28"/>
          <w:szCs w:val="28"/>
        </w:rPr>
        <w:t>91411725MA3Y</w:t>
      </w:r>
      <w:r>
        <w:rPr>
          <w:rFonts w:hint="eastAsia" w:ascii="仿宋" w:hAnsi="仿宋" w:eastAsia="仿宋" w:cs="仿宋"/>
          <w:color w:val="333333"/>
          <w:kern w:val="0"/>
          <w:sz w:val="28"/>
          <w:szCs w:val="28"/>
          <w:lang w:val="en-US" w:eastAsia="zh-CN"/>
        </w:rPr>
        <w:t>39Y19W）</w:t>
      </w:r>
      <w:r>
        <w:rPr>
          <w:rFonts w:hint="eastAsia" w:ascii="仿宋" w:hAnsi="仿宋" w:eastAsia="仿宋" w:cs="仿宋"/>
          <w:color w:val="333333"/>
          <w:kern w:val="0"/>
          <w:sz w:val="28"/>
          <w:szCs w:val="28"/>
        </w:rPr>
        <w:t>债权申报相关事宜及债权申报表的填写规则、注意事项及法律后果等作如下规定，以便债权申报、审核、核查、裁定确认及分配或受偿款项的领取等事宜有序进行：</w:t>
      </w:r>
    </w:p>
    <w:p w14:paraId="2E17BB33">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一、债权申报表填写规则</w:t>
      </w:r>
    </w:p>
    <w:p w14:paraId="491B491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1、债权人姓名或名称：债权人为单位的，完整填写已经工商登记的最新名称；债权人为自然人的，按照公安机关制发的二代居民身份证登记的姓名准确填写。</w:t>
      </w:r>
    </w:p>
    <w:p w14:paraId="67A8CC9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2、身份证或组织机构代码：身份证号码按照公安机关制发的二代居民身份证显示号码如实填写；组织机构代码证，按照证件代码填写，已换发三证合一营业执照的，提供该营业执照即可。</w:t>
      </w:r>
    </w:p>
    <w:p w14:paraId="38AD020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3、申报时间：</w:t>
      </w:r>
      <w:r>
        <w:rPr>
          <w:rFonts w:hint="eastAsia" w:ascii="仿宋" w:hAnsi="仿宋" w:eastAsia="仿宋" w:cs="仿宋"/>
          <w:color w:val="333333"/>
          <w:kern w:val="0"/>
          <w:sz w:val="28"/>
          <w:szCs w:val="28"/>
          <w:lang w:eastAsia="zh-CN"/>
        </w:rPr>
        <w:t>以</w:t>
      </w:r>
      <w:r>
        <w:rPr>
          <w:rFonts w:hint="eastAsia" w:ascii="仿宋" w:hAnsi="仿宋" w:eastAsia="仿宋" w:cs="仿宋"/>
          <w:color w:val="333333"/>
          <w:kern w:val="0"/>
          <w:sz w:val="28"/>
          <w:szCs w:val="28"/>
        </w:rPr>
        <w:t>正式向</w:t>
      </w:r>
      <w:r>
        <w:rPr>
          <w:rFonts w:hint="eastAsia" w:ascii="仿宋" w:hAnsi="仿宋" w:eastAsia="仿宋" w:cs="仿宋"/>
          <w:color w:val="333333"/>
          <w:kern w:val="0"/>
          <w:sz w:val="28"/>
          <w:szCs w:val="28"/>
          <w:lang w:eastAsia="zh-CN"/>
        </w:rPr>
        <w:t>清算组</w:t>
      </w:r>
      <w:r>
        <w:rPr>
          <w:rFonts w:hint="eastAsia" w:ascii="仿宋" w:hAnsi="仿宋" w:eastAsia="仿宋" w:cs="仿宋"/>
          <w:color w:val="333333"/>
          <w:kern w:val="0"/>
          <w:sz w:val="28"/>
          <w:szCs w:val="28"/>
        </w:rPr>
        <w:t>提交债权申报手续的日期为准。</w:t>
      </w:r>
    </w:p>
    <w:p w14:paraId="3A26F2C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4、申报联系人：填写债权人本人或经书面授权的代理人姓名。</w:t>
      </w:r>
    </w:p>
    <w:p w14:paraId="2B528EE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5、联系电话：填写申报联系人电话，提供本人手机号码及固定电话号码。</w:t>
      </w:r>
    </w:p>
    <w:p w14:paraId="654F6CD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6、债权人确认送达法律文书的地址：债权人或代理人的收件地址、邮编和收件人姓名应准确完整，收件地址应当为收件人的办事机构所在地或经常居住地地址，以免因不能及时接收人民法院或</w:t>
      </w:r>
      <w:r>
        <w:rPr>
          <w:rFonts w:hint="eastAsia" w:ascii="仿宋" w:hAnsi="仿宋" w:eastAsia="仿宋" w:cs="仿宋"/>
          <w:color w:val="333333"/>
          <w:kern w:val="0"/>
          <w:sz w:val="28"/>
          <w:szCs w:val="28"/>
          <w:lang w:eastAsia="zh-CN"/>
        </w:rPr>
        <w:t>清算组</w:t>
      </w:r>
      <w:r>
        <w:rPr>
          <w:rFonts w:hint="eastAsia" w:ascii="仿宋" w:hAnsi="仿宋" w:eastAsia="仿宋" w:cs="仿宋"/>
          <w:color w:val="333333"/>
          <w:kern w:val="0"/>
          <w:sz w:val="28"/>
          <w:szCs w:val="28"/>
        </w:rPr>
        <w:t>寄送的法律文书而产生不利后果。</w:t>
      </w:r>
    </w:p>
    <w:p w14:paraId="0C03122B">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7、开户银行及账号：应当填写债权人有效的银行账户信息，</w:t>
      </w:r>
      <w:r>
        <w:rPr>
          <w:rFonts w:hint="eastAsia" w:ascii="仿宋" w:hAnsi="仿宋" w:eastAsia="仿宋" w:cs="仿宋"/>
          <w:b w:val="0"/>
          <w:bCs w:val="0"/>
          <w:color w:val="auto"/>
          <w:kern w:val="0"/>
          <w:sz w:val="28"/>
          <w:szCs w:val="28"/>
        </w:rPr>
        <w:t>填写代理人或第三人的银行账户信息并向</w:t>
      </w:r>
      <w:r>
        <w:rPr>
          <w:rFonts w:hint="eastAsia" w:ascii="仿宋" w:hAnsi="仿宋" w:eastAsia="仿宋" w:cs="仿宋"/>
          <w:b w:val="0"/>
          <w:bCs w:val="0"/>
          <w:color w:val="auto"/>
          <w:kern w:val="0"/>
          <w:sz w:val="28"/>
          <w:szCs w:val="28"/>
          <w:lang w:eastAsia="zh-CN"/>
        </w:rPr>
        <w:t>清算组</w:t>
      </w:r>
      <w:r>
        <w:rPr>
          <w:rFonts w:hint="eastAsia" w:ascii="仿宋" w:hAnsi="仿宋" w:eastAsia="仿宋" w:cs="仿宋"/>
          <w:b w:val="0"/>
          <w:bCs w:val="0"/>
          <w:color w:val="auto"/>
          <w:kern w:val="0"/>
          <w:sz w:val="28"/>
          <w:szCs w:val="28"/>
        </w:rPr>
        <w:t>提交债权人书面委托收款手续的，自受偿或分配款项到达该账户之日起，视为债权人已经受领前述款项。</w:t>
      </w:r>
      <w:r>
        <w:rPr>
          <w:rFonts w:hint="eastAsia" w:ascii="仿宋" w:hAnsi="仿宋" w:eastAsia="仿宋" w:cs="仿宋"/>
          <w:color w:val="333333"/>
          <w:kern w:val="0"/>
          <w:sz w:val="28"/>
          <w:szCs w:val="28"/>
        </w:rPr>
        <w:t>债权人以未收到前述款项为由向</w:t>
      </w:r>
      <w:r>
        <w:rPr>
          <w:rFonts w:hint="eastAsia" w:ascii="仿宋" w:hAnsi="仿宋" w:eastAsia="仿宋" w:cs="仿宋"/>
          <w:color w:val="333333"/>
          <w:kern w:val="0"/>
          <w:sz w:val="28"/>
          <w:szCs w:val="28"/>
          <w:lang w:eastAsia="zh-CN"/>
        </w:rPr>
        <w:t>清算组</w:t>
      </w:r>
      <w:r>
        <w:rPr>
          <w:rFonts w:hint="eastAsia" w:ascii="仿宋" w:hAnsi="仿宋" w:eastAsia="仿宋" w:cs="仿宋"/>
          <w:color w:val="333333"/>
          <w:kern w:val="0"/>
          <w:sz w:val="28"/>
          <w:szCs w:val="28"/>
        </w:rPr>
        <w:t>申报债权的，</w:t>
      </w:r>
      <w:r>
        <w:rPr>
          <w:rFonts w:hint="eastAsia" w:ascii="仿宋" w:hAnsi="仿宋" w:eastAsia="仿宋" w:cs="仿宋"/>
          <w:color w:val="333333"/>
          <w:kern w:val="0"/>
          <w:sz w:val="28"/>
          <w:szCs w:val="28"/>
          <w:lang w:eastAsia="zh-CN"/>
        </w:rPr>
        <w:t>清算组</w:t>
      </w:r>
      <w:r>
        <w:rPr>
          <w:rFonts w:hint="eastAsia" w:ascii="仿宋" w:hAnsi="仿宋" w:eastAsia="仿宋" w:cs="仿宋"/>
          <w:color w:val="333333"/>
          <w:kern w:val="0"/>
          <w:sz w:val="28"/>
          <w:szCs w:val="28"/>
        </w:rPr>
        <w:t>不予受理。</w:t>
      </w:r>
    </w:p>
    <w:p w14:paraId="3C1C87D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8、申报金额、本金债权、利息债权及债权发生时间：申报金额栏应填写申报债权的本息合计总额；本金债权有司法机关或公证机构的生效司法裁判文书（包括生效的调解书）或公证文书的，以该文书确认的本金填写，无裁判或公证文书的，依双方的合同或协议约定的本金数额，结合财务对账结果如实填写；利息债权，计算至破产申请受理时，有司法机关或公证机构的生效司法裁判文书（包括生效的调解书）或公证文书的，以该文书确认的本金填写；无裁判或公证文书的，有合同的，依照双方所签合同约定的利息支付标准，根据法律规定的利息保护幅度，结合财务对账结果如实填写，</w:t>
      </w:r>
      <w:r>
        <w:rPr>
          <w:rFonts w:hint="eastAsia" w:ascii="仿宋" w:hAnsi="仿宋" w:eastAsia="仿宋" w:cs="仿宋"/>
          <w:b w:val="0"/>
          <w:bCs w:val="0"/>
          <w:color w:val="333333"/>
          <w:kern w:val="0"/>
          <w:sz w:val="28"/>
          <w:szCs w:val="28"/>
        </w:rPr>
        <w:t>并附利息计算清单；</w:t>
      </w:r>
      <w:r>
        <w:rPr>
          <w:rFonts w:hint="eastAsia" w:ascii="仿宋" w:hAnsi="仿宋" w:eastAsia="仿宋" w:cs="仿宋"/>
          <w:color w:val="333333"/>
          <w:kern w:val="0"/>
          <w:sz w:val="28"/>
          <w:szCs w:val="28"/>
        </w:rPr>
        <w:t>债权发生时间，以债权债务关系实际发生时间填写。上述事项均应如实填写，未填写的，视为自行放弃申报权利。</w:t>
      </w:r>
    </w:p>
    <w:p w14:paraId="22B4F6DE">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rPr>
        <w:t>9、财产担保情况、担保标的、担保物价值与担保发生时间：无财产担保的，直接填写“无”；有财产担保的，</w:t>
      </w:r>
      <w:r>
        <w:rPr>
          <w:rFonts w:hint="eastAsia" w:ascii="仿宋" w:hAnsi="仿宋" w:eastAsia="仿宋" w:cs="仿宋"/>
          <w:color w:val="333333"/>
          <w:kern w:val="0"/>
          <w:sz w:val="28"/>
          <w:szCs w:val="28"/>
          <w:highlight w:val="none"/>
          <w:lang w:val="en-US" w:eastAsia="zh-CN"/>
        </w:rPr>
        <w:t>债权人在债权申报表中应明确下列信息，以便于清算组对债权的担保情况进行审核：</w:t>
      </w:r>
    </w:p>
    <w:p w14:paraId="5FCBBE88">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lang w:val="en-US" w:eastAsia="zh-CN"/>
        </w:rPr>
        <w:t>（1）担保标的；</w:t>
      </w:r>
    </w:p>
    <w:p w14:paraId="463C87CC">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lang w:val="en-US" w:eastAsia="zh-CN"/>
        </w:rPr>
        <w:t>（2）担保物价值（如有）；</w:t>
      </w:r>
    </w:p>
    <w:p w14:paraId="2194A1ED">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（3）担保债权发生时间；</w:t>
      </w:r>
    </w:p>
    <w:p w14:paraId="3AD1525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（4）</w:t>
      </w:r>
      <w:r>
        <w:rPr>
          <w:rFonts w:hint="eastAsia" w:ascii="仿宋" w:hAnsi="仿宋" w:eastAsia="仿宋" w:cs="仿宋"/>
          <w:color w:val="333333"/>
          <w:kern w:val="0"/>
          <w:sz w:val="28"/>
          <w:szCs w:val="28"/>
          <w:highlight w:val="none"/>
          <w:lang w:val="en-US" w:eastAsia="zh-CN"/>
        </w:rPr>
        <w:t>担</w:t>
      </w:r>
      <w:r>
        <w:rPr>
          <w:rFonts w:hint="default" w:ascii="仿宋" w:hAnsi="仿宋" w:eastAsia="仿宋" w:cs="仿宋"/>
          <w:color w:val="333333"/>
          <w:kern w:val="0"/>
          <w:sz w:val="28"/>
          <w:szCs w:val="28"/>
          <w:highlight w:val="none"/>
          <w:lang w:val="en-US" w:eastAsia="zh-CN"/>
        </w:rPr>
        <w:t>保种类，即物的担保还是保证担保。物的担保是抵押、质押还是留置；保证担保则是一般保证还是连带保证等；</w:t>
      </w:r>
    </w:p>
    <w:p w14:paraId="6708F6FC">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（5）担保人的名称；</w:t>
      </w:r>
    </w:p>
    <w:p w14:paraId="6FBB605D">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（6）担保的范围；</w:t>
      </w:r>
    </w:p>
    <w:p w14:paraId="0524A03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（7）担保的起止时间；</w:t>
      </w:r>
    </w:p>
    <w:p w14:paraId="59F7925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（8）担保的条件；</w:t>
      </w:r>
    </w:p>
    <w:p w14:paraId="5A50AD8E">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default" w:ascii="仿宋" w:hAnsi="仿宋" w:eastAsia="仿宋" w:cs="仿宋"/>
          <w:color w:val="333333"/>
          <w:kern w:val="0"/>
          <w:sz w:val="28"/>
          <w:szCs w:val="28"/>
          <w:highlight w:val="none"/>
          <w:lang w:val="en-US" w:eastAsia="zh-CN"/>
        </w:rPr>
        <w:t>（9）是否存在反担保等。</w:t>
      </w:r>
    </w:p>
    <w:p w14:paraId="432248C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10、基本事实及相关证据材料</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简要写明债权债务关系发生过程，并完整提交相应的证据材料，有特殊事项的，应当附书面情况说明。</w:t>
      </w:r>
    </w:p>
    <w:p w14:paraId="44053FEE">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11、备注</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根据自身债权实际情况，按需填写。</w:t>
      </w:r>
    </w:p>
    <w:p w14:paraId="1D20360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12、债权人盖章：债权人为单位或其他组织，应当加盖单位或组织公章；债权人为自然人的应当签字并摁手印。</w:t>
      </w:r>
    </w:p>
    <w:p w14:paraId="1463F67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13、提交人签字：债权人本人申报债权的，应当填写申报人姓名，并签字摁印确认；若为代理人申报债权，应填写代理人姓名，并签字摁印确认。</w:t>
      </w:r>
    </w:p>
    <w:p w14:paraId="6B66872A">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二、注意事项</w:t>
      </w:r>
    </w:p>
    <w:p w14:paraId="0662EF8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1、债权申报表的空格部分均应如实填写（备注除外），字迹工整、清晰可见且容易辨认，不得涂改，否则债权人可能承担因此而产生的债权登记、审核、核查或裁定确认错误等不利后果。</w:t>
      </w:r>
    </w:p>
    <w:p w14:paraId="66DB482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2、债权人填妥本表内容后，单位债权人应将本表连同支持所申报债权的全部证据材料、法定代表人身份证明书、授权委托书（特别授权）、三证合一营业执照（未换发新照的，提交营业执照与组织机构代码证）复印件、申报联系人身份证复印件一并提交</w:t>
      </w:r>
      <w:r>
        <w:rPr>
          <w:rFonts w:hint="eastAsia" w:ascii="仿宋" w:hAnsi="仿宋" w:eastAsia="仿宋" w:cs="仿宋"/>
          <w:color w:val="333333"/>
          <w:kern w:val="0"/>
          <w:sz w:val="28"/>
          <w:szCs w:val="28"/>
          <w:lang w:eastAsia="zh-CN"/>
        </w:rPr>
        <w:t>清算组</w:t>
      </w:r>
      <w:r>
        <w:rPr>
          <w:rFonts w:hint="eastAsia" w:ascii="仿宋" w:hAnsi="仿宋" w:eastAsia="仿宋" w:cs="仿宋"/>
          <w:color w:val="333333"/>
          <w:kern w:val="0"/>
          <w:sz w:val="28"/>
          <w:szCs w:val="28"/>
        </w:rPr>
        <w:t>；自然人债权人应将本表连同支持所申报债权的全部证据材料、本人身份证复印件、申报联系人身份证复印件、授权委托书等一并提交</w:t>
      </w:r>
      <w:r>
        <w:rPr>
          <w:rFonts w:hint="eastAsia" w:ascii="仿宋" w:hAnsi="仿宋" w:eastAsia="仿宋" w:cs="仿宋"/>
          <w:color w:val="333333"/>
          <w:kern w:val="0"/>
          <w:sz w:val="28"/>
          <w:szCs w:val="28"/>
          <w:lang w:eastAsia="zh-CN"/>
        </w:rPr>
        <w:t>清算组</w:t>
      </w:r>
      <w:r>
        <w:rPr>
          <w:rFonts w:hint="eastAsia" w:ascii="仿宋" w:hAnsi="仿宋" w:eastAsia="仿宋" w:cs="仿宋"/>
          <w:color w:val="333333"/>
          <w:kern w:val="0"/>
          <w:sz w:val="28"/>
          <w:szCs w:val="28"/>
        </w:rPr>
        <w:t>。</w:t>
      </w:r>
    </w:p>
    <w:p w14:paraId="3B4868FD">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3、提交材料的纸张规格应为A4纸，复印件应当与原件核对一致，且内容清晰可辨，所有提交材料需</w:t>
      </w:r>
      <w:r>
        <w:rPr>
          <w:rFonts w:hint="eastAsia" w:ascii="仿宋" w:hAnsi="仿宋" w:eastAsia="仿宋" w:cs="仿宋"/>
          <w:color w:val="000000"/>
          <w:kern w:val="0"/>
          <w:sz w:val="28"/>
          <w:szCs w:val="28"/>
        </w:rPr>
        <w:t>法定代表人或负责人签字并加盖骑缝章。自然人债权人提交材料需签字摁手印。</w:t>
      </w:r>
    </w:p>
    <w:p w14:paraId="36CC4695">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4、本表中填写的寄件地址及银行账户信息等，应当保证使用功能正常、有效，否则，债权人自行承担邮件寄送不能及受偿或分配款项无法支付到位的全部后果。</w:t>
      </w:r>
    </w:p>
    <w:p w14:paraId="3754D03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5、</w:t>
      </w:r>
      <w:r>
        <w:rPr>
          <w:rFonts w:hint="eastAsia" w:ascii="仿宋" w:hAnsi="仿宋" w:eastAsia="仿宋" w:cs="仿宋"/>
          <w:b w:val="0"/>
          <w:bCs/>
          <w:sz w:val="28"/>
          <w:szCs w:val="28"/>
        </w:rPr>
        <w:t>债权申报接收文件清单</w:t>
      </w:r>
      <w:r>
        <w:rPr>
          <w:rFonts w:hint="eastAsia" w:ascii="仿宋" w:hAnsi="仿宋" w:eastAsia="仿宋" w:cs="仿宋"/>
          <w:color w:val="333333"/>
          <w:kern w:val="0"/>
          <w:sz w:val="28"/>
          <w:szCs w:val="28"/>
        </w:rPr>
        <w:t>兼具债权申报通知回执证明作用。</w:t>
      </w:r>
    </w:p>
    <w:p w14:paraId="29C1A11F">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三、法律后果</w:t>
      </w:r>
    </w:p>
    <w:p w14:paraId="5184CCA4">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1、禁止任何形式的重复申报或虚假、虚构债权，否则，申报人将承担由此而产生的民事赔偿及其他全部法律责任；</w:t>
      </w:r>
    </w:p>
    <w:p w14:paraId="40B6BDC5">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2、债权人与债权人，债权人与债务人相互串通虚构、重复申报债权或扰乱债权申报秩序的，除应承担相应的法律责任外，对其申报的债权按无效债权处置。给</w:t>
      </w:r>
      <w:r>
        <w:rPr>
          <w:rFonts w:hint="eastAsia" w:ascii="仿宋" w:hAnsi="仿宋" w:eastAsia="仿宋" w:cs="仿宋"/>
          <w:color w:val="333333"/>
          <w:kern w:val="0"/>
          <w:sz w:val="28"/>
          <w:szCs w:val="28"/>
          <w:lang w:eastAsia="zh-CN"/>
        </w:rPr>
        <w:t>清算组</w:t>
      </w:r>
      <w:r>
        <w:rPr>
          <w:rFonts w:hint="eastAsia" w:ascii="仿宋" w:hAnsi="仿宋" w:eastAsia="仿宋" w:cs="仿宋"/>
          <w:color w:val="333333"/>
          <w:kern w:val="0"/>
          <w:sz w:val="28"/>
          <w:szCs w:val="28"/>
        </w:rPr>
        <w:t>或他人造成损失的，责任人承诺无条件承担全部损失；</w:t>
      </w:r>
    </w:p>
    <w:p w14:paraId="60E3683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3、根据《中华人民共和国企业破产法》及相关法律规定，其他违法处理事项及处理后果。            </w:t>
      </w:r>
    </w:p>
    <w:p w14:paraId="09F5EC1D">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 xml:space="preserve">        </w:t>
      </w:r>
    </w:p>
    <w:p w14:paraId="380B0A88">
      <w:pPr>
        <w:keepNext w:val="0"/>
        <w:keepLines w:val="0"/>
        <w:pageBreakBefore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_GB2312"/>
          <w:sz w:val="28"/>
          <w:szCs w:val="28"/>
          <w:lang w:eastAsia="zh-CN"/>
        </w:rPr>
      </w:pPr>
      <w:r>
        <w:rPr>
          <w:rFonts w:hint="eastAsia" w:ascii="仿宋" w:hAnsi="仿宋" w:eastAsia="仿宋" w:cs="仿宋_GB2312"/>
          <w:sz w:val="28"/>
          <w:szCs w:val="28"/>
          <w:lang w:val="en-US" w:eastAsia="zh-CN"/>
        </w:rPr>
        <w:t>确山县三农经济发展有限公司</w:t>
      </w:r>
      <w:r>
        <w:rPr>
          <w:rFonts w:hint="eastAsia" w:ascii="仿宋" w:hAnsi="仿宋" w:eastAsia="仿宋" w:cs="仿宋_GB2312"/>
          <w:sz w:val="28"/>
          <w:szCs w:val="28"/>
          <w:lang w:eastAsia="zh-CN"/>
        </w:rPr>
        <w:t>清算组</w:t>
      </w:r>
    </w:p>
    <w:p w14:paraId="27EBCA50">
      <w:pPr>
        <w:keepNext w:val="0"/>
        <w:keepLines w:val="0"/>
        <w:pageBreakBefore w:val="0"/>
        <w:widowControl w:val="0"/>
        <w:kinsoku/>
        <w:wordWrap/>
        <w:overflowPunct/>
        <w:topLinePunct w:val="0"/>
        <w:autoSpaceDE/>
        <w:autoSpaceDN/>
        <w:bidi w:val="0"/>
        <w:adjustRightInd/>
        <w:snapToGrid/>
        <w:spacing w:line="560" w:lineRule="exact"/>
        <w:ind w:right="420" w:rightChars="200" w:firstLine="560" w:firstLineChars="200"/>
        <w:jc w:val="right"/>
        <w:textAlignment w:val="auto"/>
        <w:rPr>
          <w:rFonts w:hint="default" w:ascii="仿宋" w:hAnsi="仿宋" w:eastAsia="仿宋" w:cs="仿宋_GB2312"/>
          <w:sz w:val="28"/>
          <w:szCs w:val="28"/>
          <w:lang w:val="en-US"/>
        </w:rPr>
      </w:pPr>
      <w:r>
        <w:rPr>
          <w:rFonts w:hint="eastAsia" w:ascii="仿宋" w:hAnsi="仿宋" w:eastAsia="仿宋" w:cs="仿宋_GB2312"/>
          <w:sz w:val="28"/>
          <w:szCs w:val="28"/>
        </w:rPr>
        <w:t xml:space="preserve">                       二〇</w:t>
      </w:r>
      <w:r>
        <w:rPr>
          <w:rFonts w:hint="eastAsia" w:ascii="仿宋" w:hAnsi="仿宋" w:eastAsia="仿宋" w:cs="仿宋_GB2312"/>
          <w:sz w:val="28"/>
          <w:szCs w:val="28"/>
          <w:lang w:val="en-US" w:eastAsia="zh-CN"/>
        </w:rPr>
        <w:t>二六年五月二十五日</w:t>
      </w:r>
    </w:p>
    <w:p w14:paraId="512B4336">
      <w:pPr>
        <w:spacing w:line="360" w:lineRule="auto"/>
        <w:ind w:firstLine="560" w:firstLineChars="200"/>
        <w:jc w:val="center"/>
        <w:rPr>
          <w:rFonts w:hint="eastAsia" w:ascii="仿宋" w:hAnsi="仿宋" w:eastAsia="仿宋" w:cs="仿宋"/>
          <w:sz w:val="28"/>
          <w:szCs w:val="28"/>
        </w:rPr>
      </w:pPr>
    </w:p>
    <w:p w14:paraId="5589E1C1">
      <w:pPr>
        <w:rPr>
          <w:rFonts w:hint="eastAsia" w:ascii="仿宋" w:hAnsi="仿宋" w:eastAsia="仿宋" w:cs="仿宋"/>
          <w:color w:val="333333"/>
          <w:kern w:val="0"/>
          <w:sz w:val="28"/>
          <w:szCs w:val="28"/>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84FA0">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2E5EBD">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5</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B2E5EBD">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5</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18A90">
    <w:pPr>
      <w:pStyle w:val="3"/>
      <w:pBdr>
        <w:bottom w:val="dashSmallGap" w:color="auto" w:sz="4" w:space="1"/>
      </w:pBdr>
      <w:jc w:val="both"/>
      <w:rPr>
        <w:rFonts w:hint="eastAsia" w:eastAsia="宋体"/>
        <w:color w:val="7E7E7E"/>
        <w:lang w:eastAsia="zh-CN"/>
      </w:rPr>
    </w:pPr>
    <w:r>
      <w:rPr>
        <w:rFonts w:hint="eastAsia"/>
      </w:rPr>
      <w:drawing>
        <wp:inline distT="0" distB="0" distL="114300" distR="114300">
          <wp:extent cx="1080135" cy="217805"/>
          <wp:effectExtent l="0" t="0" r="1905" b="10795"/>
          <wp:docPr id="2" name="图片 3" descr="尤扬律师事务所  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尤扬律师事务所  标志"/>
                  <pic:cNvPicPr>
                    <a:picLocks noChangeAspect="1"/>
                  </pic:cNvPicPr>
                </pic:nvPicPr>
                <pic:blipFill>
                  <a:blip r:embed="rId1"/>
                  <a:stretch>
                    <a:fillRect/>
                  </a:stretch>
                </pic:blipFill>
                <pic:spPr>
                  <a:xfrm>
                    <a:off x="0" y="0"/>
                    <a:ext cx="1080135" cy="217805"/>
                  </a:xfrm>
                  <a:prstGeom prst="rect">
                    <a:avLst/>
                  </a:prstGeom>
                  <a:noFill/>
                  <a:ln>
                    <a:noFill/>
                  </a:ln>
                </pic:spPr>
              </pic:pic>
            </a:graphicData>
          </a:graphic>
        </wp:inline>
      </w:drawing>
    </w:r>
    <w:r>
      <w:rPr>
        <w:rFonts w:hint="eastAsia"/>
      </w:rPr>
      <w:t xml:space="preserve">                        </w:t>
    </w:r>
    <w:r>
      <w:rPr>
        <w:rFonts w:hint="eastAsia"/>
        <w:color w:val="7F7F7F"/>
        <w:sz w:val="20"/>
        <w:szCs w:val="24"/>
        <w:lang w:val="en-US" w:eastAsia="zh-CN"/>
      </w:rPr>
      <w:t>确山县三农经济发展有限公司</w:t>
    </w:r>
    <w:r>
      <w:rPr>
        <w:rFonts w:hint="eastAsia"/>
        <w:color w:val="7F7F7F"/>
        <w:sz w:val="20"/>
        <w:szCs w:val="24"/>
        <w:lang w:eastAsia="zh-CN"/>
      </w:rPr>
      <w:t>清算组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OWFjNjcyNGIxMDQ2ODViMzczZjc2ZmUzMzk0ODkifQ=="/>
  </w:docVars>
  <w:rsids>
    <w:rsidRoot w:val="00AB03BD"/>
    <w:rsid w:val="005541DE"/>
    <w:rsid w:val="007068E4"/>
    <w:rsid w:val="009D1621"/>
    <w:rsid w:val="00AB03BD"/>
    <w:rsid w:val="00C07469"/>
    <w:rsid w:val="02557468"/>
    <w:rsid w:val="02D560B5"/>
    <w:rsid w:val="03DD0C55"/>
    <w:rsid w:val="064F79CD"/>
    <w:rsid w:val="0717375D"/>
    <w:rsid w:val="07BD6940"/>
    <w:rsid w:val="09F47D86"/>
    <w:rsid w:val="0BEE42B4"/>
    <w:rsid w:val="0C603620"/>
    <w:rsid w:val="0E2120DC"/>
    <w:rsid w:val="0FB81855"/>
    <w:rsid w:val="10273C90"/>
    <w:rsid w:val="10770CDC"/>
    <w:rsid w:val="11150714"/>
    <w:rsid w:val="12FC10D3"/>
    <w:rsid w:val="13E16610"/>
    <w:rsid w:val="17231E1A"/>
    <w:rsid w:val="19DC0F31"/>
    <w:rsid w:val="1A2823CB"/>
    <w:rsid w:val="1E0F457B"/>
    <w:rsid w:val="20AD50D8"/>
    <w:rsid w:val="224A458F"/>
    <w:rsid w:val="24710CCD"/>
    <w:rsid w:val="26DE597B"/>
    <w:rsid w:val="292E447D"/>
    <w:rsid w:val="2C36465A"/>
    <w:rsid w:val="2E2C723F"/>
    <w:rsid w:val="2E7428E4"/>
    <w:rsid w:val="2ED30F45"/>
    <w:rsid w:val="2F2611BB"/>
    <w:rsid w:val="2F302D5E"/>
    <w:rsid w:val="320B3304"/>
    <w:rsid w:val="32636B29"/>
    <w:rsid w:val="365437D6"/>
    <w:rsid w:val="3B111C96"/>
    <w:rsid w:val="3BA26D92"/>
    <w:rsid w:val="3BAA4F4B"/>
    <w:rsid w:val="3C0E42F0"/>
    <w:rsid w:val="3E353EED"/>
    <w:rsid w:val="3E65501A"/>
    <w:rsid w:val="3EB744F5"/>
    <w:rsid w:val="422F5772"/>
    <w:rsid w:val="433C187A"/>
    <w:rsid w:val="434209E0"/>
    <w:rsid w:val="456A6B72"/>
    <w:rsid w:val="458A00C8"/>
    <w:rsid w:val="45DB5F79"/>
    <w:rsid w:val="4867383D"/>
    <w:rsid w:val="48C9599D"/>
    <w:rsid w:val="49DF11B1"/>
    <w:rsid w:val="4A314103"/>
    <w:rsid w:val="50362C3D"/>
    <w:rsid w:val="50C92DF9"/>
    <w:rsid w:val="5311601B"/>
    <w:rsid w:val="543A69E9"/>
    <w:rsid w:val="54A7248B"/>
    <w:rsid w:val="54D36A6A"/>
    <w:rsid w:val="54EA55DA"/>
    <w:rsid w:val="56EB318F"/>
    <w:rsid w:val="592D1F39"/>
    <w:rsid w:val="5B5C08B4"/>
    <w:rsid w:val="5D7C3F83"/>
    <w:rsid w:val="5F8761F4"/>
    <w:rsid w:val="5F931193"/>
    <w:rsid w:val="603C377B"/>
    <w:rsid w:val="616F0E58"/>
    <w:rsid w:val="61B56F70"/>
    <w:rsid w:val="64EC56E6"/>
    <w:rsid w:val="67EE6FB8"/>
    <w:rsid w:val="69DF474C"/>
    <w:rsid w:val="6A0E00C5"/>
    <w:rsid w:val="6A5264C8"/>
    <w:rsid w:val="6C953C26"/>
    <w:rsid w:val="700130C6"/>
    <w:rsid w:val="70381498"/>
    <w:rsid w:val="71B85F3A"/>
    <w:rsid w:val="7285473C"/>
    <w:rsid w:val="75DD2102"/>
    <w:rsid w:val="771D3A4A"/>
    <w:rsid w:val="78E007B6"/>
    <w:rsid w:val="7B022250"/>
    <w:rsid w:val="7DC53539"/>
    <w:rsid w:val="7DE133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_Style 5"/>
    <w:autoRedefine/>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2056</Words>
  <Characters>2078</Characters>
  <Lines>14</Lines>
  <Paragraphs>4</Paragraphs>
  <TotalTime>0</TotalTime>
  <ScaleCrop>false</ScaleCrop>
  <LinksUpToDate>false</LinksUpToDate>
  <CharactersWithSpaces>2121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2020-11-10T02:40:00Z</dcterms:created>
  <dc:creator>Administrator</dc:creator>
  <cp:lastModifiedBy>.Poikilotherm.</cp:lastModifiedBy>
  <cp:lastPrinted>2024-04-17T13:49:00Z</cp:lastPrinted>
  <dcterms:modified xsi:type="dcterms:W3CDTF">2026-05-26T02:44:39Z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7C891F1FCE6C43D1BE8810AF2ACF5878_13</vt:lpwstr>
  </property>
  <property fmtid="{D5CDD505-2E9C-101B-9397-08002B2CF9AE}" pid="4" name="KSOTemplateDocerSaveRecord">
    <vt:lpwstr>eyJoZGlkIjoiMGRlNzk0ZmExMjBiNTJjZDhhYWQyNTMyMTJhMTQ4MmQiLCJ1c2VySWQiOiI2ODQ3NzcyMTQifQ==</vt:lpwstr>
  </property>
</Properties>
</file>