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478" w:tblpY="1135"/>
        <w:tblOverlap w:val="never"/>
        <w:tblW w:w="9471"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Layout w:type="autofit"/>
        <w:tblCellMar>
          <w:top w:w="15" w:type="dxa"/>
          <w:left w:w="15" w:type="dxa"/>
          <w:bottom w:w="15" w:type="dxa"/>
          <w:right w:w="15" w:type="dxa"/>
        </w:tblCellMar>
      </w:tblPr>
      <w:tblGrid>
        <w:gridCol w:w="2200"/>
        <w:gridCol w:w="15"/>
        <w:gridCol w:w="3486"/>
        <w:gridCol w:w="3770"/>
      </w:tblGrid>
      <w:tr w14:paraId="349B49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624" w:hRule="atLeast"/>
          <w:jc w:val="center"/>
        </w:trPr>
        <w:tc>
          <w:tcPr>
            <w:tcW w:w="9471" w:type="dxa"/>
            <w:gridSpan w:val="4"/>
            <w:tcBorders>
              <w:tl2br w:val="nil"/>
              <w:tr2bl w:val="nil"/>
            </w:tcBorders>
            <w:shd w:val="clear" w:color="auto" w:fill="FFFFFF"/>
            <w:tcMar>
              <w:top w:w="0" w:type="dxa"/>
              <w:left w:w="108" w:type="dxa"/>
              <w:bottom w:w="0" w:type="dxa"/>
              <w:right w:w="108" w:type="dxa"/>
            </w:tcMar>
            <w:vAlign w:val="center"/>
          </w:tcPr>
          <w:p w14:paraId="423E5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sz w:val="21"/>
                <w:szCs w:val="21"/>
              </w:rPr>
            </w:pPr>
            <w:r>
              <w:rPr>
                <w:rFonts w:ascii="仿宋" w:hAnsi="仿宋" w:eastAsia="仿宋" w:cs="仿宋"/>
                <w:b/>
                <w:bCs/>
                <w:i w:val="0"/>
                <w:iCs w:val="0"/>
                <w:caps w:val="0"/>
                <w:color w:val="000000"/>
                <w:spacing w:val="0"/>
                <w:sz w:val="30"/>
                <w:szCs w:val="30"/>
              </w:rPr>
              <w:t>标的物</w:t>
            </w:r>
            <w:r>
              <w:rPr>
                <w:rFonts w:hint="eastAsia" w:ascii="仿宋" w:hAnsi="仿宋" w:eastAsia="仿宋" w:cs="仿宋"/>
                <w:b/>
                <w:bCs/>
                <w:i w:val="0"/>
                <w:iCs w:val="0"/>
                <w:caps w:val="0"/>
                <w:color w:val="000000"/>
                <w:spacing w:val="0"/>
                <w:sz w:val="30"/>
                <w:szCs w:val="30"/>
              </w:rPr>
              <w:t>调查情况表</w:t>
            </w:r>
          </w:p>
        </w:tc>
      </w:tr>
      <w:tr w14:paraId="3C1D4B6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2B1FF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标的名称</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33BCB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eastAsia="仿宋"/>
                <w:sz w:val="21"/>
                <w:szCs w:val="21"/>
                <w:lang w:val="en-US" w:eastAsia="zh-CN"/>
              </w:rPr>
            </w:pPr>
            <w:r>
              <w:rPr>
                <w:rFonts w:hint="eastAsia" w:ascii="仿宋" w:hAnsi="仿宋" w:eastAsia="仿宋" w:cs="仿宋"/>
                <w:i w:val="0"/>
                <w:iCs w:val="0"/>
                <w:caps w:val="0"/>
                <w:color w:val="000000"/>
                <w:spacing w:val="0"/>
                <w:sz w:val="24"/>
                <w:szCs w:val="24"/>
              </w:rPr>
              <w:t>杭州</w:t>
            </w:r>
            <w:r>
              <w:rPr>
                <w:rFonts w:hint="eastAsia" w:ascii="仿宋" w:hAnsi="仿宋" w:eastAsia="仿宋" w:cs="仿宋"/>
                <w:i w:val="0"/>
                <w:iCs w:val="0"/>
                <w:caps w:val="0"/>
                <w:color w:val="000000"/>
                <w:spacing w:val="0"/>
                <w:sz w:val="24"/>
                <w:szCs w:val="24"/>
                <w:lang w:val="en-US" w:eastAsia="zh-CN"/>
              </w:rPr>
              <w:t>菜番蕃科技</w:t>
            </w:r>
            <w:r>
              <w:rPr>
                <w:rFonts w:hint="eastAsia" w:ascii="仿宋" w:hAnsi="仿宋" w:eastAsia="仿宋" w:cs="仿宋"/>
                <w:i w:val="0"/>
                <w:iCs w:val="0"/>
                <w:caps w:val="0"/>
                <w:color w:val="000000"/>
                <w:spacing w:val="0"/>
                <w:sz w:val="24"/>
                <w:szCs w:val="24"/>
              </w:rPr>
              <w:t>有限公司名下</w:t>
            </w:r>
            <w:r>
              <w:rPr>
                <w:rFonts w:hint="eastAsia" w:ascii="仿宋" w:hAnsi="仿宋" w:eastAsia="仿宋" w:cs="仿宋"/>
                <w:i w:val="0"/>
                <w:iCs w:val="0"/>
                <w:caps w:val="0"/>
                <w:color w:val="000000"/>
                <w:spacing w:val="0"/>
                <w:sz w:val="24"/>
                <w:szCs w:val="24"/>
                <w:lang w:val="en-US" w:eastAsia="zh-CN"/>
              </w:rPr>
              <w:t>一</w:t>
            </w:r>
            <w:bookmarkStart w:id="0" w:name="_GoBack"/>
            <w:bookmarkEnd w:id="0"/>
            <w:r>
              <w:rPr>
                <w:rFonts w:hint="eastAsia" w:ascii="仿宋" w:hAnsi="仿宋" w:eastAsia="仿宋" w:cs="仿宋"/>
                <w:i w:val="0"/>
                <w:iCs w:val="0"/>
                <w:caps w:val="0"/>
                <w:color w:val="000000"/>
                <w:spacing w:val="0"/>
                <w:sz w:val="24"/>
                <w:szCs w:val="24"/>
                <w:lang w:val="en-US" w:eastAsia="zh-CN"/>
              </w:rPr>
              <w:t>项专利</w:t>
            </w:r>
          </w:p>
        </w:tc>
      </w:tr>
      <w:tr w14:paraId="19D70F1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0D7D8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权利来源</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01C8D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《民事裁定书》、《决定书》、《财产管理和变价方案》</w:t>
            </w:r>
          </w:p>
        </w:tc>
      </w:tr>
      <w:tr w14:paraId="71ABDBB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09787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权证情况</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4B141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eastAsia" w:eastAsiaTheme="minorEastAsia"/>
                <w:sz w:val="21"/>
                <w:szCs w:val="21"/>
                <w:lang w:val="en-US" w:eastAsia="zh-CN"/>
              </w:rPr>
            </w:pPr>
            <w:r>
              <w:rPr>
                <w:rFonts w:hint="eastAsia" w:ascii="仿宋" w:hAnsi="仿宋" w:eastAsia="仿宋" w:cs="仿宋"/>
                <w:i w:val="0"/>
                <w:iCs w:val="0"/>
                <w:caps w:val="0"/>
                <w:color w:val="000000"/>
                <w:spacing w:val="0"/>
                <w:sz w:val="24"/>
                <w:szCs w:val="24"/>
                <w:lang w:val="en-US" w:eastAsia="zh-CN"/>
              </w:rPr>
              <w:t>无</w:t>
            </w:r>
          </w:p>
        </w:tc>
      </w:tr>
      <w:tr w14:paraId="7A9147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2D72B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标的所有人</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56AF4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杭州</w:t>
            </w:r>
            <w:r>
              <w:rPr>
                <w:rFonts w:hint="eastAsia" w:ascii="仿宋" w:hAnsi="仿宋" w:eastAsia="仿宋" w:cs="仿宋"/>
                <w:i w:val="0"/>
                <w:iCs w:val="0"/>
                <w:caps w:val="0"/>
                <w:color w:val="000000"/>
                <w:spacing w:val="0"/>
                <w:sz w:val="24"/>
                <w:szCs w:val="24"/>
                <w:lang w:val="en-US" w:eastAsia="zh-CN"/>
              </w:rPr>
              <w:t>菜番蕃科技</w:t>
            </w:r>
            <w:r>
              <w:rPr>
                <w:rFonts w:hint="eastAsia" w:ascii="仿宋" w:hAnsi="仿宋" w:eastAsia="仿宋" w:cs="仿宋"/>
                <w:i w:val="0"/>
                <w:iCs w:val="0"/>
                <w:caps w:val="0"/>
                <w:color w:val="000000"/>
                <w:spacing w:val="0"/>
                <w:sz w:val="24"/>
                <w:szCs w:val="24"/>
              </w:rPr>
              <w:t>有限公司</w:t>
            </w:r>
          </w:p>
        </w:tc>
      </w:tr>
      <w:tr w14:paraId="7BA3704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4A6CD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lang w:val="en-US" w:eastAsia="zh-CN"/>
              </w:rPr>
              <w:t>权证</w:t>
            </w:r>
            <w:r>
              <w:rPr>
                <w:rFonts w:hint="eastAsia" w:ascii="仿宋" w:hAnsi="仿宋" w:eastAsia="仿宋" w:cs="仿宋"/>
                <w:i w:val="0"/>
                <w:iCs w:val="0"/>
                <w:caps w:val="0"/>
                <w:color w:val="000000"/>
                <w:spacing w:val="0"/>
                <w:sz w:val="24"/>
                <w:szCs w:val="24"/>
              </w:rPr>
              <w:t>情况</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70BDD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不详</w:t>
            </w:r>
          </w:p>
        </w:tc>
      </w:tr>
      <w:tr w14:paraId="0ED47E4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201" w:hRule="atLeast"/>
          <w:jc w:val="center"/>
        </w:trPr>
        <w:tc>
          <w:tcPr>
            <w:tcW w:w="2200" w:type="dxa"/>
            <w:vMerge w:val="restart"/>
            <w:tcBorders>
              <w:tl2br w:val="nil"/>
              <w:tr2bl w:val="nil"/>
            </w:tcBorders>
            <w:shd w:val="clear" w:color="auto" w:fill="FFFFFF"/>
            <w:tcMar>
              <w:top w:w="0" w:type="dxa"/>
              <w:left w:w="108" w:type="dxa"/>
              <w:bottom w:w="0" w:type="dxa"/>
              <w:right w:w="108" w:type="dxa"/>
            </w:tcMar>
            <w:vAlign w:val="center"/>
          </w:tcPr>
          <w:p w14:paraId="0C424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权利限制</w:t>
            </w:r>
          </w:p>
        </w:tc>
        <w:tc>
          <w:tcPr>
            <w:tcW w:w="3501" w:type="dxa"/>
            <w:gridSpan w:val="2"/>
            <w:tcBorders>
              <w:right w:val="single" w:color="auto" w:sz="4" w:space="0"/>
              <w:tl2br w:val="nil"/>
              <w:tr2bl w:val="nil"/>
            </w:tcBorders>
            <w:shd w:val="clear" w:color="auto" w:fill="FFFFFF"/>
            <w:tcMar>
              <w:top w:w="0" w:type="dxa"/>
              <w:left w:w="108" w:type="dxa"/>
              <w:bottom w:w="0" w:type="dxa"/>
              <w:right w:w="108" w:type="dxa"/>
            </w:tcMar>
            <w:vAlign w:val="center"/>
          </w:tcPr>
          <w:p w14:paraId="0CFB9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查封</w:t>
            </w:r>
          </w:p>
        </w:tc>
        <w:tc>
          <w:tcPr>
            <w:tcW w:w="3770" w:type="dxa"/>
            <w:tcBorders>
              <w:left w:val="single" w:color="auto" w:sz="4" w:space="0"/>
              <w:tl2br w:val="nil"/>
              <w:tr2bl w:val="nil"/>
            </w:tcBorders>
            <w:shd w:val="clear" w:color="auto" w:fill="FFFFFF"/>
            <w:tcMar>
              <w:top w:w="0" w:type="dxa"/>
              <w:left w:w="108" w:type="dxa"/>
              <w:bottom w:w="0" w:type="dxa"/>
              <w:right w:w="108" w:type="dxa"/>
            </w:tcMar>
            <w:vAlign w:val="center"/>
          </w:tcPr>
          <w:p w14:paraId="5C353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不详</w:t>
            </w:r>
          </w:p>
        </w:tc>
      </w:tr>
      <w:tr w14:paraId="7198AB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201" w:hRule="atLeast"/>
          <w:jc w:val="center"/>
        </w:trPr>
        <w:tc>
          <w:tcPr>
            <w:tcW w:w="2200" w:type="dxa"/>
            <w:vMerge w:val="continue"/>
            <w:tcBorders>
              <w:tl2br w:val="nil"/>
              <w:tr2bl w:val="nil"/>
            </w:tcBorders>
            <w:shd w:val="clear" w:color="auto" w:fill="FFFFFF"/>
            <w:tcMar>
              <w:top w:w="0" w:type="dxa"/>
              <w:left w:w="108" w:type="dxa"/>
              <w:bottom w:w="0" w:type="dxa"/>
              <w:right w:w="108" w:type="dxa"/>
            </w:tcMar>
            <w:vAlign w:val="center"/>
          </w:tcPr>
          <w:p w14:paraId="08E46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pPr>
          </w:p>
        </w:tc>
        <w:tc>
          <w:tcPr>
            <w:tcW w:w="3501" w:type="dxa"/>
            <w:gridSpan w:val="2"/>
            <w:tcBorders>
              <w:right w:val="single" w:color="auto" w:sz="4" w:space="0"/>
              <w:tl2br w:val="nil"/>
              <w:tr2bl w:val="nil"/>
            </w:tcBorders>
            <w:shd w:val="clear" w:color="auto" w:fill="FFFFFF"/>
            <w:tcMar>
              <w:top w:w="0" w:type="dxa"/>
              <w:left w:w="108" w:type="dxa"/>
              <w:bottom w:w="0" w:type="dxa"/>
              <w:right w:w="108" w:type="dxa"/>
            </w:tcMar>
            <w:vAlign w:val="center"/>
          </w:tcPr>
          <w:p w14:paraId="1340A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抵押</w:t>
            </w:r>
          </w:p>
        </w:tc>
        <w:tc>
          <w:tcPr>
            <w:tcW w:w="3770" w:type="dxa"/>
            <w:tcBorders>
              <w:left w:val="single" w:color="auto" w:sz="4" w:space="0"/>
              <w:tl2br w:val="nil"/>
              <w:tr2bl w:val="nil"/>
            </w:tcBorders>
            <w:shd w:val="clear" w:color="auto" w:fill="FFFFFF"/>
            <w:tcMar>
              <w:top w:w="0" w:type="dxa"/>
              <w:left w:w="108" w:type="dxa"/>
              <w:bottom w:w="0" w:type="dxa"/>
              <w:right w:w="108" w:type="dxa"/>
            </w:tcMar>
            <w:vAlign w:val="center"/>
          </w:tcPr>
          <w:p w14:paraId="17785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不详</w:t>
            </w:r>
          </w:p>
        </w:tc>
      </w:tr>
      <w:tr w14:paraId="53453E9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201" w:hRule="atLeast"/>
          <w:jc w:val="center"/>
        </w:trPr>
        <w:tc>
          <w:tcPr>
            <w:tcW w:w="2200" w:type="dxa"/>
            <w:vMerge w:val="continue"/>
            <w:tcBorders>
              <w:tl2br w:val="nil"/>
              <w:tr2bl w:val="nil"/>
            </w:tcBorders>
            <w:shd w:val="clear" w:color="auto" w:fill="FFFFFF"/>
            <w:tcMar>
              <w:top w:w="0" w:type="dxa"/>
              <w:left w:w="108" w:type="dxa"/>
              <w:bottom w:w="0" w:type="dxa"/>
              <w:right w:w="108" w:type="dxa"/>
            </w:tcMar>
            <w:vAlign w:val="center"/>
          </w:tcPr>
          <w:p w14:paraId="3AE28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p>
        </w:tc>
        <w:tc>
          <w:tcPr>
            <w:tcW w:w="3501" w:type="dxa"/>
            <w:gridSpan w:val="2"/>
            <w:tcBorders>
              <w:right w:val="single" w:color="auto" w:sz="4" w:space="0"/>
              <w:tl2br w:val="nil"/>
              <w:tr2bl w:val="nil"/>
            </w:tcBorders>
            <w:shd w:val="clear" w:color="auto" w:fill="FFFFFF"/>
            <w:tcMar>
              <w:top w:w="0" w:type="dxa"/>
              <w:left w:w="108" w:type="dxa"/>
              <w:bottom w:w="0" w:type="dxa"/>
              <w:right w:w="108" w:type="dxa"/>
            </w:tcMar>
            <w:vAlign w:val="center"/>
          </w:tcPr>
          <w:p w14:paraId="189B6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使用许可</w:t>
            </w:r>
          </w:p>
        </w:tc>
        <w:tc>
          <w:tcPr>
            <w:tcW w:w="3770" w:type="dxa"/>
            <w:tcBorders>
              <w:left w:val="single" w:color="auto" w:sz="4" w:space="0"/>
              <w:tl2br w:val="nil"/>
              <w:tr2bl w:val="nil"/>
            </w:tcBorders>
            <w:shd w:val="clear" w:color="auto" w:fill="FFFFFF"/>
            <w:tcMar>
              <w:top w:w="0" w:type="dxa"/>
              <w:left w:w="108" w:type="dxa"/>
              <w:bottom w:w="0" w:type="dxa"/>
              <w:right w:w="108" w:type="dxa"/>
            </w:tcMar>
            <w:vAlign w:val="center"/>
          </w:tcPr>
          <w:p w14:paraId="4BF02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不详</w:t>
            </w:r>
          </w:p>
        </w:tc>
      </w:tr>
      <w:tr w14:paraId="0477D5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624" w:hRule="atLeast"/>
          <w:jc w:val="center"/>
        </w:trPr>
        <w:tc>
          <w:tcPr>
            <w:tcW w:w="2200" w:type="dxa"/>
            <w:tcBorders>
              <w:tl2br w:val="nil"/>
              <w:tr2bl w:val="nil"/>
            </w:tcBorders>
            <w:shd w:val="clear" w:color="auto" w:fill="FFFFFF"/>
            <w:tcMar>
              <w:top w:w="0" w:type="dxa"/>
              <w:left w:w="108" w:type="dxa"/>
              <w:bottom w:w="0" w:type="dxa"/>
              <w:right w:w="108" w:type="dxa"/>
            </w:tcMar>
            <w:vAlign w:val="center"/>
          </w:tcPr>
          <w:p w14:paraId="418B8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提供的文件</w:t>
            </w:r>
          </w:p>
        </w:tc>
        <w:tc>
          <w:tcPr>
            <w:tcW w:w="7271" w:type="dxa"/>
            <w:gridSpan w:val="3"/>
            <w:tcBorders>
              <w:tl2br w:val="nil"/>
              <w:tr2bl w:val="nil"/>
            </w:tcBorders>
            <w:shd w:val="clear" w:color="auto" w:fill="FFFFFF"/>
            <w:tcMar>
              <w:top w:w="0" w:type="dxa"/>
              <w:left w:w="108" w:type="dxa"/>
              <w:bottom w:w="0" w:type="dxa"/>
              <w:right w:w="108" w:type="dxa"/>
            </w:tcMar>
            <w:vAlign w:val="center"/>
          </w:tcPr>
          <w:p w14:paraId="16793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sz w:val="21"/>
                <w:szCs w:val="21"/>
              </w:rPr>
            </w:pPr>
            <w:r>
              <w:rPr>
                <w:rFonts w:hint="eastAsia" w:ascii="仿宋" w:hAnsi="仿宋" w:eastAsia="仿宋" w:cs="仿宋"/>
                <w:i w:val="0"/>
                <w:iCs w:val="0"/>
                <w:caps w:val="0"/>
                <w:color w:val="000000"/>
                <w:spacing w:val="0"/>
                <w:sz w:val="24"/>
                <w:szCs w:val="24"/>
              </w:rPr>
              <w:t>拍卖成交确认书</w:t>
            </w:r>
          </w:p>
        </w:tc>
      </w:tr>
      <w:tr w14:paraId="22FEAB1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2523" w:hRule="atLeast"/>
          <w:jc w:val="center"/>
        </w:trPr>
        <w:tc>
          <w:tcPr>
            <w:tcW w:w="9471" w:type="dxa"/>
            <w:gridSpan w:val="4"/>
            <w:tcBorders>
              <w:tl2br w:val="nil"/>
              <w:tr2bl w:val="nil"/>
            </w:tcBorders>
            <w:shd w:val="clear" w:color="auto" w:fill="FFFFFF"/>
            <w:tcMar>
              <w:top w:w="0" w:type="dxa"/>
              <w:left w:w="108" w:type="dxa"/>
              <w:bottom w:w="0" w:type="dxa"/>
              <w:right w:w="108" w:type="dxa"/>
            </w:tcMar>
            <w:vAlign w:val="center"/>
          </w:tcPr>
          <w:p w14:paraId="7D795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center"/>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标的物介绍</w:t>
            </w:r>
          </w:p>
          <w:tbl>
            <w:tblPr>
              <w:tblStyle w:val="3"/>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7"/>
              <w:gridCol w:w="2263"/>
              <w:gridCol w:w="2162"/>
              <w:gridCol w:w="2169"/>
            </w:tblGrid>
            <w:tr w14:paraId="2828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487" w:type="dxa"/>
                  <w:shd w:val="clear" w:color="auto" w:fill="auto"/>
                  <w:noWrap/>
                  <w:vAlign w:val="center"/>
                </w:tcPr>
                <w:p w14:paraId="41EBA2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263" w:type="dxa"/>
                  <w:shd w:val="clear" w:color="auto" w:fill="auto"/>
                  <w:noWrap/>
                  <w:vAlign w:val="center"/>
                </w:tcPr>
                <w:p w14:paraId="45AC46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专利名称</w:t>
                  </w:r>
                </w:p>
              </w:tc>
              <w:tc>
                <w:tcPr>
                  <w:tcW w:w="2162" w:type="dxa"/>
                  <w:shd w:val="clear" w:color="auto" w:fill="auto"/>
                  <w:noWrap/>
                  <w:vAlign w:val="center"/>
                </w:tcPr>
                <w:p w14:paraId="1049E522">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公布/公告号</w:t>
                  </w:r>
                </w:p>
              </w:tc>
              <w:tc>
                <w:tcPr>
                  <w:tcW w:w="2169" w:type="dxa"/>
                  <w:shd w:val="clear" w:color="auto" w:fill="auto"/>
                  <w:noWrap/>
                  <w:vAlign w:val="center"/>
                </w:tcPr>
                <w:p w14:paraId="5716310A">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专利类型</w:t>
                  </w:r>
                </w:p>
              </w:tc>
            </w:tr>
            <w:tr w14:paraId="0F7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487" w:type="dxa"/>
                  <w:shd w:val="clear" w:color="auto" w:fill="auto"/>
                  <w:noWrap/>
                  <w:vAlign w:val="center"/>
                </w:tcPr>
                <w:p w14:paraId="329203D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263" w:type="dxa"/>
                  <w:shd w:val="clear" w:color="auto" w:fill="auto"/>
                  <w:noWrap/>
                  <w:vAlign w:val="center"/>
                </w:tcPr>
                <w:p w14:paraId="79ED5D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4"/>
                      <w:szCs w:val="24"/>
                      <w:u w:val="none"/>
                      <w:lang w:val="en-US" w:eastAsia="zh-CN" w:bidi="ar"/>
                    </w:rPr>
                    <w:t>一种负载纳米二氧化钛的泡沫镍及其制备方法和应用</w:t>
                  </w:r>
                </w:p>
              </w:tc>
              <w:tc>
                <w:tcPr>
                  <w:tcW w:w="2162" w:type="dxa"/>
                  <w:shd w:val="clear" w:color="auto" w:fill="auto"/>
                  <w:noWrap/>
                  <w:vAlign w:val="center"/>
                </w:tcPr>
                <w:p w14:paraId="2DDC983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CN110237844B</w:t>
                  </w:r>
                </w:p>
              </w:tc>
              <w:tc>
                <w:tcPr>
                  <w:tcW w:w="2169" w:type="dxa"/>
                  <w:shd w:val="clear" w:color="auto" w:fill="auto"/>
                  <w:noWrap/>
                  <w:vAlign w:val="center"/>
                </w:tcPr>
                <w:p w14:paraId="1B42D3F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发明专利</w:t>
                  </w:r>
                </w:p>
              </w:tc>
            </w:tr>
          </w:tbl>
          <w:p w14:paraId="5D660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default"/>
                <w:b/>
                <w:bCs/>
                <w:sz w:val="21"/>
                <w:szCs w:val="21"/>
                <w:lang w:val="en-US" w:eastAsia="zh-CN"/>
              </w:rPr>
            </w:pPr>
          </w:p>
        </w:tc>
      </w:tr>
      <w:tr w14:paraId="6298001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blCellMar>
            <w:top w:w="15" w:type="dxa"/>
            <w:left w:w="15" w:type="dxa"/>
            <w:bottom w:w="15" w:type="dxa"/>
            <w:right w:w="15" w:type="dxa"/>
          </w:tblCellMar>
        </w:tblPrEx>
        <w:trPr>
          <w:trHeight w:val="2884" w:hRule="atLeast"/>
          <w:jc w:val="center"/>
        </w:trPr>
        <w:tc>
          <w:tcPr>
            <w:tcW w:w="2215" w:type="dxa"/>
            <w:gridSpan w:val="2"/>
            <w:tcBorders>
              <w:right w:val="single" w:color="auto" w:sz="4" w:space="0"/>
              <w:tl2br w:val="nil"/>
              <w:tr2bl w:val="nil"/>
            </w:tcBorders>
            <w:shd w:val="clear" w:color="auto" w:fill="FFFFFF"/>
            <w:tcMar>
              <w:top w:w="0" w:type="dxa"/>
              <w:left w:w="108" w:type="dxa"/>
              <w:bottom w:w="0" w:type="dxa"/>
              <w:right w:w="108" w:type="dxa"/>
            </w:tcMar>
            <w:vAlign w:val="center"/>
          </w:tcPr>
          <w:p w14:paraId="3FDBD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Pr>
                <w:rFonts w:hint="default"/>
                <w:b/>
                <w:bCs/>
                <w:sz w:val="21"/>
                <w:szCs w:val="21"/>
                <w:lang w:val="en-US" w:eastAsia="zh-CN"/>
              </w:rPr>
            </w:pPr>
            <w:r>
              <w:rPr>
                <w:rFonts w:hint="eastAsia"/>
                <w:b/>
                <w:bCs/>
                <w:sz w:val="21"/>
                <w:szCs w:val="21"/>
                <w:lang w:val="en-US" w:eastAsia="zh-CN"/>
              </w:rPr>
              <w:t>特别说明</w:t>
            </w:r>
          </w:p>
        </w:tc>
        <w:tc>
          <w:tcPr>
            <w:tcW w:w="7256" w:type="dxa"/>
            <w:gridSpan w:val="2"/>
            <w:tcBorders>
              <w:left w:val="single" w:color="auto" w:sz="4" w:space="0"/>
              <w:tl2br w:val="nil"/>
              <w:tr2bl w:val="nil"/>
            </w:tcBorders>
            <w:shd w:val="clear" w:color="auto" w:fill="FFFFFF"/>
            <w:tcMar>
              <w:top w:w="0" w:type="dxa"/>
              <w:left w:w="108" w:type="dxa"/>
              <w:bottom w:w="0" w:type="dxa"/>
              <w:right w:w="108" w:type="dxa"/>
            </w:tcMar>
            <w:vAlign w:val="center"/>
          </w:tcPr>
          <w:p w14:paraId="26372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Helvetica" w:hAnsi="Helvetica" w:eastAsia="Helvetica" w:cs="Helvetica"/>
                <w:i w:val="0"/>
                <w:iCs w:val="0"/>
                <w:caps w:val="0"/>
                <w:color w:val="666666"/>
                <w:spacing w:val="0"/>
                <w:sz w:val="14"/>
                <w:szCs w:val="14"/>
              </w:rPr>
            </w:pPr>
            <w:r>
              <w:rPr>
                <w:rFonts w:hint="eastAsia" w:ascii="宋体" w:hAnsi="宋体" w:eastAsia="宋体" w:cs="宋体"/>
                <w:b/>
                <w:bCs/>
                <w:i w:val="0"/>
                <w:iCs w:val="0"/>
                <w:caps w:val="0"/>
                <w:color w:val="000000"/>
                <w:spacing w:val="0"/>
                <w:sz w:val="20"/>
                <w:szCs w:val="20"/>
                <w:u w:val="single"/>
                <w:shd w:val="clear" w:fill="FFFFFF"/>
              </w:rPr>
              <w:t>1、管理人根据《中华人民共和国企业破产法》第二十五条和《债务人财产管理和变价方案》规定进行本次拍卖。</w:t>
            </w:r>
          </w:p>
          <w:p w14:paraId="5E8F8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666666"/>
                <w:spacing w:val="0"/>
                <w:sz w:val="14"/>
                <w:szCs w:val="14"/>
              </w:rPr>
            </w:pPr>
            <w:r>
              <w:rPr>
                <w:rFonts w:hint="eastAsia" w:ascii="宋体" w:hAnsi="宋体" w:eastAsia="宋体" w:cs="宋体"/>
                <w:b/>
                <w:bCs/>
                <w:i w:val="0"/>
                <w:iCs w:val="0"/>
                <w:caps w:val="0"/>
                <w:color w:val="000000"/>
                <w:spacing w:val="0"/>
                <w:sz w:val="20"/>
                <w:szCs w:val="20"/>
                <w:u w:val="single"/>
                <w:shd w:val="clear" w:fill="FFFFFF"/>
              </w:rPr>
              <w:t>2、标的物以相关部门登记现状为准，如有未明确缴费义务人的费用买受人自行负责处理，拍卖人不承担上述费用。管理人未接管到拍卖标的的登记权证，拍卖成交后，买受人需自行向相关部门补办相关权利证书。标的物如需办理过户手续，则由买受人自行办理，对能否办理过户手续、办理时间等情况，请竞买人在竞买前自行到有关部门咨询确认。证书办理及过户等所需的一切费用均由买受人承担，无法补办证书、无法过户的风险均由买受人自行承担。</w:t>
            </w:r>
          </w:p>
          <w:p w14:paraId="5EDDD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666666"/>
                <w:spacing w:val="0"/>
                <w:sz w:val="14"/>
                <w:szCs w:val="14"/>
              </w:rPr>
            </w:pPr>
            <w:r>
              <w:rPr>
                <w:rFonts w:hint="eastAsia" w:ascii="宋体" w:hAnsi="宋体" w:eastAsia="宋体" w:cs="宋体"/>
                <w:b/>
                <w:bCs/>
                <w:i w:val="0"/>
                <w:iCs w:val="0"/>
                <w:caps w:val="0"/>
                <w:color w:val="000000"/>
                <w:spacing w:val="0"/>
                <w:sz w:val="20"/>
                <w:szCs w:val="20"/>
                <w:u w:val="single"/>
                <w:shd w:val="clear" w:fill="FFFFFF"/>
              </w:rPr>
              <w:t>3、管理人不对权利形态、是否到期、能否过户、能否使用做任何承诺或担保。因标的物现状及存在瑕疵等原因不能或者延迟办理过户手续及办理二次过户造成的费用增加等责任、义务、法律后果均由买受人自行承担。</w:t>
            </w:r>
          </w:p>
          <w:p w14:paraId="55F77B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666666"/>
                <w:spacing w:val="0"/>
                <w:sz w:val="14"/>
                <w:szCs w:val="14"/>
              </w:rPr>
            </w:pPr>
            <w:r>
              <w:rPr>
                <w:rFonts w:hint="default" w:ascii="Helvetica" w:hAnsi="Helvetica" w:eastAsia="Helvetica" w:cs="Helvetica"/>
                <w:b/>
                <w:bCs/>
                <w:i w:val="0"/>
                <w:iCs w:val="0"/>
                <w:caps w:val="0"/>
                <w:color w:val="000000"/>
                <w:spacing w:val="0"/>
                <w:sz w:val="20"/>
                <w:szCs w:val="20"/>
                <w:u w:val="single"/>
                <w:shd w:val="clear" w:fill="FFFFFF"/>
              </w:rPr>
              <w:t>4</w:t>
            </w:r>
            <w:r>
              <w:rPr>
                <w:rFonts w:hint="eastAsia" w:ascii="宋体" w:hAnsi="宋体" w:eastAsia="宋体" w:cs="宋体"/>
                <w:b/>
                <w:bCs/>
                <w:i w:val="0"/>
                <w:iCs w:val="0"/>
                <w:caps w:val="0"/>
                <w:color w:val="000000"/>
                <w:spacing w:val="0"/>
                <w:sz w:val="20"/>
                <w:szCs w:val="20"/>
                <w:u w:val="single"/>
                <w:shd w:val="clear" w:fill="FFFFFF"/>
              </w:rPr>
              <w:t>、拍卖标的未经评估。根据杭州</w:t>
            </w:r>
            <w:r>
              <w:rPr>
                <w:rFonts w:hint="eastAsia" w:ascii="宋体" w:hAnsi="宋体" w:eastAsia="宋体" w:cs="宋体"/>
                <w:b/>
                <w:bCs/>
                <w:i w:val="0"/>
                <w:iCs w:val="0"/>
                <w:caps w:val="0"/>
                <w:color w:val="000000"/>
                <w:spacing w:val="0"/>
                <w:sz w:val="20"/>
                <w:szCs w:val="20"/>
                <w:u w:val="single"/>
                <w:shd w:val="clear" w:fill="FFFFFF"/>
                <w:lang w:val="en-US" w:eastAsia="zh-CN"/>
              </w:rPr>
              <w:t>菜番蕃科技</w:t>
            </w:r>
            <w:r>
              <w:rPr>
                <w:rFonts w:hint="eastAsia" w:ascii="宋体" w:hAnsi="宋体" w:eastAsia="宋体" w:cs="宋体"/>
                <w:b/>
                <w:bCs/>
                <w:i w:val="0"/>
                <w:iCs w:val="0"/>
                <w:caps w:val="0"/>
                <w:color w:val="000000"/>
                <w:spacing w:val="0"/>
                <w:sz w:val="20"/>
                <w:szCs w:val="20"/>
                <w:u w:val="single"/>
                <w:shd w:val="clear" w:fill="FFFFFF"/>
              </w:rPr>
              <w:t>有限公司第一次债权人会议审议通过的《债务人财产管理和变价方案》进行拍卖。</w:t>
            </w:r>
          </w:p>
          <w:p w14:paraId="60FA6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i w:val="0"/>
                <w:iCs w:val="0"/>
                <w:caps w:val="0"/>
                <w:color w:val="666666"/>
                <w:spacing w:val="0"/>
                <w:sz w:val="14"/>
                <w:szCs w:val="14"/>
              </w:rPr>
            </w:pPr>
            <w:r>
              <w:rPr>
                <w:rFonts w:hint="default" w:ascii="Helvetica" w:hAnsi="Helvetica" w:eastAsia="Helvetica" w:cs="Helvetica"/>
                <w:b/>
                <w:bCs/>
                <w:i w:val="0"/>
                <w:iCs w:val="0"/>
                <w:caps w:val="0"/>
                <w:color w:val="000000"/>
                <w:spacing w:val="0"/>
                <w:sz w:val="20"/>
                <w:szCs w:val="20"/>
                <w:u w:val="single"/>
                <w:shd w:val="clear" w:fill="FFFFFF"/>
              </w:rPr>
              <w:t>5</w:t>
            </w:r>
            <w:r>
              <w:rPr>
                <w:rFonts w:hint="eastAsia" w:ascii="宋体" w:hAnsi="宋体" w:eastAsia="宋体" w:cs="宋体"/>
                <w:b/>
                <w:bCs/>
                <w:i w:val="0"/>
                <w:iCs w:val="0"/>
                <w:caps w:val="0"/>
                <w:color w:val="000000"/>
                <w:spacing w:val="0"/>
                <w:sz w:val="20"/>
                <w:szCs w:val="20"/>
                <w:u w:val="single"/>
                <w:shd w:val="clear" w:fill="FFFFFF"/>
              </w:rPr>
              <w:t>、管理人对标的物不承担瑕疵保证责任或义务，就标的物是否存在有效期届满、担保、共有、优先权、许可使用或其他任何的情况，需要竞买人自行核实。不论买受人是否核实，拍卖成交后均视为买受人对于拍卖标的现状的认可，标的以现状交付。</w:t>
            </w:r>
          </w:p>
          <w:p w14:paraId="5BB0A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b/>
                <w:bCs/>
                <w:sz w:val="21"/>
                <w:szCs w:val="21"/>
                <w:lang w:val="en-US" w:eastAsia="zh-CN"/>
              </w:rPr>
            </w:pPr>
            <w:r>
              <w:rPr>
                <w:rFonts w:hint="eastAsia" w:ascii="宋体" w:hAnsi="宋体" w:eastAsia="宋体" w:cs="宋体"/>
                <w:b/>
                <w:bCs/>
                <w:i w:val="0"/>
                <w:iCs w:val="0"/>
                <w:caps w:val="0"/>
                <w:color w:val="000000"/>
                <w:spacing w:val="0"/>
                <w:sz w:val="20"/>
                <w:szCs w:val="20"/>
                <w:u w:val="single"/>
                <w:shd w:val="clear" w:fill="FFFFFF"/>
              </w:rPr>
              <w:t>6、标的物转让登记手续由买受人自行办理，本次交易产生的全部税费均由买受人承担。应由买受人承担的税费，需由买受人自行向有关部门了解确认并承担。</w:t>
            </w:r>
          </w:p>
        </w:tc>
      </w:tr>
    </w:tbl>
    <w:p w14:paraId="5F328390"/>
    <w:sectPr>
      <w:pgSz w:w="11906" w:h="16838"/>
      <w:pgMar w:top="0" w:right="0" w:bottom="0" w:left="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453C1"/>
    <w:rsid w:val="0E2E4F1C"/>
    <w:rsid w:val="32F23F8F"/>
    <w:rsid w:val="40201169"/>
    <w:rsid w:val="57166DCB"/>
    <w:rsid w:val="5D4267A4"/>
    <w:rsid w:val="6C237745"/>
    <w:rsid w:val="77E85F04"/>
    <w:rsid w:val="7A94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752</Words>
  <Characters>763</Characters>
  <Lines>0</Lines>
  <Paragraphs>0</Paragraphs>
  <TotalTime>11</TotalTime>
  <ScaleCrop>false</ScaleCrop>
  <LinksUpToDate>false</LinksUpToDate>
  <CharactersWithSpaces>763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2025-09-10T06:05:00Z</dcterms:created>
  <dc:creator>展翅</dc:creator>
  <cp:lastModifiedBy>Surran</cp:lastModifiedBy>
  <dcterms:modified xsi:type="dcterms:W3CDTF">2026-05-28T06:17:47Z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66D679FAE82A4120AE1C1708329EDAA0_13</vt:lpwstr>
  </property>
  <property fmtid="{D5CDD505-2E9C-101B-9397-08002B2CF9AE}" pid="4" name="KSOTemplateDocerSaveRecord">
    <vt:lpwstr>eyJoZGlkIjoiNGFkNTJkMmMwMzU5OTg4MjQwMDI3MzVjNTQ3ZTZjNjkiLCJ1c2VySWQiOiIxMDE5NDM4OTQ4In0=</vt:lpwstr>
  </property>
</Properties>
</file>