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40D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7" w:beforeLines="50" w:beforeAutospacing="0" w:after="157" w:afterLines="50" w:afterAutospacing="0" w:line="500" w:lineRule="exact"/>
        <w:ind w:left="0" w:right="0"/>
        <w:jc w:val="center"/>
        <w:rPr>
          <w:rFonts w:hint="eastAsia" w:ascii="黑体" w:hAnsi="黑体" w:eastAsia="黑体" w:cs="黑体"/>
          <w:b w:val="0"/>
          <w:bCs/>
          <w:color w:val="000000" w:themeColor="text1"/>
          <w:kern w:val="2"/>
          <w:sz w:val="30"/>
          <w:szCs w:val="30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2"/>
          <w:sz w:val="30"/>
          <w:szCs w:val="30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关于提请债权人会议审议表决</w:t>
      </w:r>
      <w:r>
        <w:rPr>
          <w:rFonts w:hint="eastAsia" w:ascii="黑体" w:hAnsi="黑体" w:eastAsia="黑体" w:cs="黑体"/>
          <w:b w:val="0"/>
          <w:bCs/>
          <w:color w:val="000000" w:themeColor="text1"/>
          <w:kern w:val="2"/>
          <w:sz w:val="30"/>
          <w:szCs w:val="30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拆迁安置权益管理方案及共益债借款方案的议案</w:t>
      </w:r>
    </w:p>
    <w:p w14:paraId="4B7C8601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舒城县冠兴饮食服务有限责任公司债权人：</w:t>
      </w:r>
    </w:p>
    <w:p w14:paraId="004F26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安徽省舒城县人民法院于2024年5月31日裁定受理宗舒萍对舒城县冠兴饮食服务有限责任公司（以下简称“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冠兴公司”）的破产清算申请，并于同日指定北京大成（合肥）律师事务所担任冠兴公司管理人。</w:t>
      </w:r>
    </w:p>
    <w:p w14:paraId="7F3F3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一、管理人查明的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冠兴公司拆迁权益</w:t>
      </w:r>
    </w:p>
    <w:p w14:paraId="43FAB39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经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管理人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调查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核实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：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冠兴公司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于2017年5月13日与舒城县土地和房屋征收管理局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（以下简称征收中心）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签订《舒城县县城区城东入城口棚改项目（国有土地上房屋）征收补偿协议书》，约定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征收中心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向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冠兴公司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支付货币补偿6753852元。2017年5月13日，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冠兴公司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法定代表人朱冠根向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征收中心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申请变更补偿方式为产权调换。2022年5月26日，朱冠根在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征收中心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签订安置房选房确认单，确认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冠兴公司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安置房分配位置、房号、结算面积、安置时间等信息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，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具体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选定的安置房屋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为舒城县鹿起尚城沁园S2栋101、102、103、104、105、106室及S3栋101、102室。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截至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目前，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上述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安置房产的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产权调换相关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协议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尚未签署，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产权登记等手续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尚未</w:t>
      </w:r>
      <w:r>
        <w:rPr>
          <w:rFonts w:ascii="仿宋_GB2312" w:hAnsi="仿宋_GB2312" w:eastAsia="仿宋_GB2312" w:cs="仿宋_GB2312"/>
          <w:color w:val="000000"/>
          <w:sz w:val="28"/>
          <w:szCs w:val="28"/>
        </w:rPr>
        <w:t>办理。</w:t>
      </w:r>
    </w:p>
    <w:p w14:paraId="2CEE153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firstLine="560" w:firstLineChars="200"/>
        <w:textAlignment w:val="auto"/>
        <w:rPr>
          <w:rFonts w:hint="default" w:eastAsia="仿宋_GB2312" w:cs="仿宋_GB2312"/>
          <w:color w:val="000000"/>
          <w:sz w:val="28"/>
          <w:szCs w:val="28"/>
          <w:lang w:val="en-US" w:eastAsia="zh-Hans"/>
        </w:rPr>
      </w:pPr>
      <w:r>
        <w:rPr>
          <w:rFonts w:hint="eastAsia" w:cs="仿宋_GB2312"/>
          <w:color w:val="000000"/>
          <w:sz w:val="28"/>
          <w:szCs w:val="28"/>
          <w:lang w:val="en-US" w:eastAsia="zh-Hans"/>
        </w:rPr>
        <w:t>另经管理人查明，合肥市蜀山区人民法院于</w:t>
      </w:r>
      <w:r>
        <w:rPr>
          <w:rFonts w:hint="default" w:cs="仿宋_GB2312"/>
          <w:color w:val="000000"/>
          <w:sz w:val="28"/>
          <w:szCs w:val="28"/>
          <w:lang w:eastAsia="zh-Hans"/>
        </w:rPr>
        <w:t>2018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年</w:t>
      </w:r>
      <w:r>
        <w:rPr>
          <w:rFonts w:hint="default" w:cs="仿宋_GB2312"/>
          <w:color w:val="000000"/>
          <w:sz w:val="28"/>
          <w:szCs w:val="28"/>
          <w:lang w:eastAsia="zh-Hans"/>
        </w:rPr>
        <w:t>12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月</w:t>
      </w:r>
      <w:r>
        <w:rPr>
          <w:rFonts w:hint="default" w:cs="仿宋_GB2312"/>
          <w:color w:val="000000"/>
          <w:sz w:val="28"/>
          <w:szCs w:val="28"/>
          <w:lang w:eastAsia="zh-Hans"/>
        </w:rPr>
        <w:t>27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日作出</w:t>
      </w:r>
      <w:r>
        <w:rPr>
          <w:rFonts w:hint="default" w:cs="仿宋_GB2312"/>
          <w:color w:val="000000"/>
          <w:sz w:val="28"/>
          <w:szCs w:val="28"/>
          <w:lang w:eastAsia="zh-Hans"/>
        </w:rPr>
        <w:t>（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2018</w:t>
      </w:r>
      <w:r>
        <w:rPr>
          <w:rFonts w:hint="default" w:cs="仿宋_GB2312"/>
          <w:color w:val="000000"/>
          <w:sz w:val="28"/>
          <w:szCs w:val="28"/>
          <w:lang w:eastAsia="zh-Hans"/>
        </w:rPr>
        <w:t>）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皖0104民初7755号民事判决书，判决嘉兴湖岸一号投资合伙企业（有限合伙）对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冠兴公司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名下的位于舒城县城关镇桃溪东路3780平方米的国有土地使用权</w:t>
      </w:r>
      <w:r>
        <w:rPr>
          <w:rFonts w:hint="default" w:cs="仿宋_GB2312"/>
          <w:color w:val="000000"/>
          <w:sz w:val="28"/>
          <w:szCs w:val="28"/>
          <w:lang w:eastAsia="zh-Hans"/>
        </w:rPr>
        <w:t>（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土地证号：舒国用第101994号</w:t>
      </w:r>
      <w:r>
        <w:rPr>
          <w:rFonts w:hint="default" w:cs="仿宋_GB2312"/>
          <w:color w:val="000000"/>
          <w:sz w:val="28"/>
          <w:szCs w:val="28"/>
          <w:lang w:eastAsia="zh-Hans"/>
        </w:rPr>
        <w:t>）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折价或者拍卖、变卖所得享有优先受偿权。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冠兴公司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于2017年5月13日与舒城县土地和房屋征收管理局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（以下简称征收中心）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签订《舒城县县城区城东入城口棚改项目（国有土地上房屋）征收补偿协议书》，约定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征收中心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向</w:t>
      </w:r>
      <w:r>
        <w:rPr>
          <w:rFonts w:hint="eastAsia" w:cs="仿宋_GB2312"/>
          <w:color w:val="000000"/>
          <w:sz w:val="28"/>
          <w:szCs w:val="28"/>
          <w:lang w:val="en-US" w:eastAsia="zh-CN"/>
        </w:rPr>
        <w:t>冠兴公司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支付货币补偿6753852元</w:t>
      </w:r>
      <w:r>
        <w:rPr>
          <w:rFonts w:hint="eastAsia" w:cs="仿宋_GB2312"/>
          <w:color w:val="000000"/>
          <w:sz w:val="28"/>
          <w:szCs w:val="28"/>
          <w:lang w:val="en-US" w:eastAsia="zh-Hans"/>
        </w:rPr>
        <w:t>，该补偿款包括上述土地的拆迁补偿款。</w:t>
      </w:r>
    </w:p>
    <w:p w14:paraId="2AF76D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2" w:firstLineChars="200"/>
        <w:jc w:val="left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二、拆迁权益管理方案</w:t>
      </w:r>
    </w:p>
    <w:p w14:paraId="6489B4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管理人曾多次与征收中心沟通，申请将产权调换恢复成原货币补偿方案，并申请法院通过府院联动机制进行协调，但均未果，征收中心不同意恢复成货币补偿。</w:t>
      </w:r>
    </w:p>
    <w:p w14:paraId="0ECD0E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基于以上实际，管理人拟继续推进产权调换安置流程，与征收中心签署产权调换相关协议，并办理安置房的产权登记等相关手续，在此过程中可能会产生以下费用：</w:t>
      </w:r>
    </w:p>
    <w:p w14:paraId="484894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（1）安置房屋补差款235863元（根据征收中心工作人员口头反馈信息暂估，最终以征收中心正式核定金额为准）；</w:t>
      </w:r>
    </w:p>
    <w:p w14:paraId="7320C4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（2）物业专项维修资金（以行政主管部门核定金额为准）；</w:t>
      </w:r>
    </w:p>
    <w:p w14:paraId="6AD82E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（3）契税（以行政主管部门核定金额为准）；</w:t>
      </w:r>
    </w:p>
    <w:p w14:paraId="4D14AC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eastAsia="zh-Hans" w:bidi="ar-SA"/>
          <w14:textFill>
            <w14:solidFill>
              <w14:schemeClr w14:val="tx1"/>
            </w14:solidFill>
          </w14:textFill>
        </w:rPr>
        <w:t>4）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土地出让金（如有，以行政主管部门核定金额为准）</w:t>
      </w:r>
    </w:p>
    <w:p w14:paraId="452C91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eastAsia="zh-Hans" w:bidi="ar-SA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安置和办证过程中可能产生的其他费用。</w:t>
      </w:r>
    </w:p>
    <w:p w14:paraId="153324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highlight w:val="none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上述安置房屋的产证办理完毕后，管理人将根据债权人会议通过的《舒城县冠兴饮食服务有限责任公司财产变价方案》对该等房产进行变价处理。</w:t>
      </w:r>
    </w:p>
    <w:p w14:paraId="2C96199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、管理人拟实施的共益债借款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案</w:t>
      </w:r>
    </w:p>
    <w:p w14:paraId="43BCB4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鉴于冠兴公司目前账面无任何可用货币资金，为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加快安置房产的产证办理，以及安置房产的变价处置，冠兴公司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拟向嘉兴湖岸一号投资合伙企业（有限合伙）商请借用共益债资金，专项用于案涉安置房产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的产证办理（包括补差款、物业专项维修资金、契税、土地出让金，以及安置和办证过程中可能产生的其他税款、费用等），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及后续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变价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处置所需必要支出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（如评估费、拍卖费、房产持有期间的房产税和城镇土地使用税等）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38A93AA3">
      <w:pPr>
        <w:keepNext w:val="0"/>
        <w:keepLines w:val="0"/>
        <w:widowControl/>
        <w:suppressLineNumbers w:val="0"/>
        <w:spacing w:beforeLines="0" w:afterLines="0" w:line="50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本次拟借用共益债资金暂按人民币400000元（肆拾万元整）测算，</w:t>
      </w:r>
      <w:r>
        <w:rPr>
          <w:rFonts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如上述共益债金额不足以覆盖安置房办证和处置所需的必要费用，管理人将视情况再向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嘉兴湖岸一号投资合伙企业（有限合伙）</w:t>
      </w:r>
      <w:r>
        <w:rPr>
          <w:rFonts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申请增加共益债金额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Hans" w:bidi="ar"/>
          <w14:textFill>
            <w14:solidFill>
              <w14:schemeClr w14:val="tx1"/>
            </w14:solidFill>
          </w14:textFill>
        </w:rPr>
        <w:t>共益债</w:t>
      </w:r>
      <w:r>
        <w:rPr>
          <w:rFonts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期限暂定一年，可依据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Hans" w:bidi="ar"/>
          <w14:textFill>
            <w14:solidFill>
              <w14:schemeClr w14:val="tx1"/>
            </w14:solidFill>
          </w14:textFill>
        </w:rPr>
        <w:t>产证办理和</w:t>
      </w:r>
      <w:r>
        <w:rPr>
          <w:rFonts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资产处置进度予以展期；借款期间不计利息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Hans" w:bidi="ar"/>
          <w14:textFill>
            <w14:solidFill>
              <w14:schemeClr w14:val="tx1"/>
            </w14:solidFill>
          </w14:textFill>
        </w:rPr>
        <w:t>；</w:t>
      </w:r>
      <w:r>
        <w:rPr>
          <w:rFonts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该笔借款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Hans" w:bidi="ar"/>
          <w14:textFill>
            <w14:solidFill>
              <w14:schemeClr w14:val="tx1"/>
            </w14:solidFill>
          </w14:textFill>
        </w:rPr>
        <w:t>作为共益债</w:t>
      </w:r>
      <w:r>
        <w:rPr>
          <w:rFonts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，从案涉房产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Hans" w:bidi="ar"/>
          <w14:textFill>
            <w14:solidFill>
              <w14:schemeClr w14:val="tx1"/>
            </w14:solidFill>
          </w14:textFill>
        </w:rPr>
        <w:t>变价所得</w:t>
      </w:r>
      <w:r>
        <w:rPr>
          <w:rFonts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中随时清偿。</w:t>
      </w:r>
    </w:p>
    <w:p w14:paraId="6E1B4CF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四、提请债权人会议表决事项</w:t>
      </w:r>
    </w:p>
    <w:p w14:paraId="332C9F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以上拆迁权益管理方案和共益债借款方案，提请债权人会议予以表决。</w:t>
      </w:r>
    </w:p>
    <w:p w14:paraId="40D62F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right="0" w:firstLine="56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E6081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righ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舒城县冠兴饮食服务有限责任公司管理人</w:t>
      </w:r>
    </w:p>
    <w:p w14:paraId="301A69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Lines="0" w:beforeAutospacing="0" w:after="0" w:afterLines="0" w:afterAutospacing="0" w:line="500" w:lineRule="exact"/>
        <w:ind w:left="0" w:right="0" w:firstLine="560" w:firstLineChars="200"/>
        <w:jc w:val="right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二〇二六年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Hans" w:bidi="ar-SA"/>
          <w14:textFill>
            <w14:solidFill>
              <w14:schemeClr w14:val="tx1"/>
            </w14:solidFill>
          </w14:textFill>
        </w:rPr>
        <w:t>十三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28"/>
          <w:szCs w:val="28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日</w:t>
      </w:r>
    </w:p>
    <w:p w14:paraId="4C0F4EA9">
      <w:pPr>
        <w:spacing w:line="5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C830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65A271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65A271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7308"/>
    <w:rsid w:val="02B0310F"/>
    <w:rsid w:val="0EE3661B"/>
    <w:rsid w:val="19FA13E8"/>
    <w:rsid w:val="1A956B0D"/>
    <w:rsid w:val="1B55264E"/>
    <w:rsid w:val="1F5140AD"/>
    <w:rsid w:val="23215468"/>
    <w:rsid w:val="23A06D2D"/>
    <w:rsid w:val="245C2C9F"/>
    <w:rsid w:val="3DFA9758"/>
    <w:rsid w:val="3FEF7308"/>
    <w:rsid w:val="525A3ACB"/>
    <w:rsid w:val="528D3EA0"/>
    <w:rsid w:val="529033EE"/>
    <w:rsid w:val="55747599"/>
    <w:rsid w:val="57FF44A6"/>
    <w:rsid w:val="5EFD7043"/>
    <w:rsid w:val="5FFD42B3"/>
    <w:rsid w:val="61377DF9"/>
    <w:rsid w:val="65F70D5B"/>
    <w:rsid w:val="67566DD8"/>
    <w:rsid w:val="67AF4F12"/>
    <w:rsid w:val="6CCD7863"/>
    <w:rsid w:val="6EFDBCFF"/>
    <w:rsid w:val="7AC06311"/>
    <w:rsid w:val="7EF7F961"/>
    <w:rsid w:val="7FEE1AA5"/>
    <w:rsid w:val="BD7F55E2"/>
    <w:rsid w:val="D7BFC082"/>
    <w:rsid w:val="DDDB1131"/>
    <w:rsid w:val="DF1BD807"/>
    <w:rsid w:val="DF99BF5D"/>
    <w:rsid w:val="E9F7281D"/>
    <w:rsid w:val="F246E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null5"/>
    <w:hidden/>
    <w:qFormat/>
    <w:uiPriority w:val="0"/>
    <w:rPr>
      <w:rFonts w:hint="eastAsia" w:ascii="仿宋_GB2312" w:hAnsi="仿宋_GB2312" w:eastAsia="仿宋_GB2312" w:cs="仿宋_GB231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2190</Words>
  <Characters>2304</Characters>
  <Lines>0</Lines>
  <Paragraphs>0</Paragraphs>
  <TotalTime>9</TotalTime>
  <ScaleCrop>false</ScaleCrop>
  <LinksUpToDate>false</LinksUpToDate>
  <CharactersWithSpaces>2304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2026-04-30T03:48:00Z</dcterms:created>
  <dc:creator>于欢</dc:creator>
  <cp:lastModifiedBy>于欢</cp:lastModifiedBy>
  <dcterms:modified xsi:type="dcterms:W3CDTF">2026-06-23T01:43:16Z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BED950A20C79487299BF8E9AF286C63F_13</vt:lpwstr>
  </property>
  <property fmtid="{D5CDD505-2E9C-101B-9397-08002B2CF9AE}" pid="4" name="KSOTemplateDocerSaveRecord">
    <vt:lpwstr>eyJoZGlkIjoiNzIzM2QyZjMxZjQ1ZGE3YmY2OTZjN2I4MmZkMWQwYWIiLCJ1c2VySWQiOiI5NDI0NjYyNTMifQ==</vt:lpwstr>
  </property>
</Properties>
</file>