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BA2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0"/>
        <w:rPr>
          <w:rFonts w:hint="eastAsia" w:ascii="仿宋" w:hAnsi="仿宋" w:eastAsia="仿宋" w:cs="仿宋"/>
          <w:b/>
          <w:bCs/>
          <w:color w:val="333333"/>
          <w:spacing w:val="-1"/>
          <w:sz w:val="30"/>
          <w:szCs w:val="30"/>
          <w:lang w:eastAsia="zh-CN"/>
        </w:rPr>
      </w:pPr>
      <w:r>
        <w:rPr>
          <w:rFonts w:hint="eastAsia" w:ascii="仿宋" w:hAnsi="仿宋" w:eastAsia="仿宋" w:cs="仿宋"/>
          <w:b/>
          <w:bCs/>
          <w:color w:val="333333"/>
          <w:spacing w:val="-1"/>
          <w:sz w:val="30"/>
          <w:szCs w:val="30"/>
          <w:lang w:eastAsia="zh-CN"/>
        </w:rPr>
        <w:t>东莞市华尔达企业管理咨询有限公司</w:t>
      </w:r>
    </w:p>
    <w:p w14:paraId="6201BB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0"/>
        <w:rPr>
          <w:rFonts w:hint="eastAsia" w:ascii="仿宋" w:hAnsi="仿宋" w:eastAsia="仿宋" w:cs="仿宋"/>
          <w:b/>
          <w:bCs/>
          <w:sz w:val="30"/>
          <w:szCs w:val="30"/>
        </w:rPr>
      </w:pPr>
      <w:r>
        <w:rPr>
          <w:rFonts w:hint="eastAsia" w:ascii="仿宋" w:hAnsi="仿宋" w:eastAsia="仿宋" w:cs="仿宋"/>
          <w:b/>
          <w:bCs/>
          <w:color w:val="333333"/>
          <w:spacing w:val="-1"/>
          <w:sz w:val="30"/>
          <w:szCs w:val="30"/>
        </w:rPr>
        <w:t>意向</w:t>
      </w:r>
      <w:r>
        <w:rPr>
          <w:rFonts w:hint="eastAsia" w:ascii="仿宋" w:hAnsi="仿宋" w:eastAsia="仿宋" w:cs="仿宋"/>
          <w:b/>
          <w:bCs/>
          <w:color w:val="333333"/>
          <w:spacing w:val="-1"/>
          <w:sz w:val="30"/>
          <w:szCs w:val="30"/>
          <w:lang w:val="en-US" w:eastAsia="zh-CN"/>
        </w:rPr>
        <w:t>重整</w:t>
      </w:r>
      <w:r>
        <w:rPr>
          <w:rFonts w:hint="eastAsia" w:ascii="仿宋" w:hAnsi="仿宋" w:eastAsia="仿宋" w:cs="仿宋"/>
          <w:b/>
          <w:bCs/>
          <w:color w:val="333333"/>
          <w:spacing w:val="-1"/>
          <w:sz w:val="30"/>
          <w:szCs w:val="30"/>
        </w:rPr>
        <w:t>投资人</w:t>
      </w:r>
      <w:r>
        <w:rPr>
          <w:rFonts w:hint="eastAsia" w:ascii="仿宋" w:hAnsi="仿宋" w:eastAsia="仿宋" w:cs="仿宋"/>
          <w:b/>
          <w:bCs/>
          <w:color w:val="333333"/>
          <w:spacing w:val="-1"/>
          <w:sz w:val="30"/>
          <w:szCs w:val="30"/>
          <w:lang w:val="en-US" w:eastAsia="zh-CN"/>
        </w:rPr>
        <w:t>预</w:t>
      </w:r>
      <w:r>
        <w:rPr>
          <w:rFonts w:hint="eastAsia" w:ascii="仿宋" w:hAnsi="仿宋" w:eastAsia="仿宋" w:cs="仿宋"/>
          <w:b/>
          <w:bCs/>
          <w:color w:val="333333"/>
          <w:spacing w:val="-1"/>
          <w:sz w:val="30"/>
          <w:szCs w:val="30"/>
        </w:rPr>
        <w:t>招募公告</w:t>
      </w:r>
    </w:p>
    <w:p w14:paraId="1D00F3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东莞市中级人民法院（下称“东莞中院”）于2025年11月26日作出（2025）粤19破申45号《民事裁定书》，裁定受理申请人广发银行股份有限公司东莞分行、海南若一高材科技有限公司对被申请人东莞市华尔达企业管理咨询有限公司（下称“华尔达公司”）的破产清算申请，并于同日作出（2025）粤19破209号《决定书》，指定广东法仕律师事务所担任华尔达公司管理人（下称“管理人”）。</w:t>
      </w:r>
    </w:p>
    <w:p w14:paraId="0023A5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1"/>
        <w:rPr>
          <w:rFonts w:hint="eastAsia" w:ascii="仿宋" w:hAnsi="仿宋" w:eastAsia="仿宋" w:cs="仿宋"/>
          <w:spacing w:val="-1"/>
          <w:sz w:val="24"/>
          <w:szCs w:val="24"/>
        </w:rPr>
      </w:pPr>
      <w:r>
        <w:rPr>
          <w:rFonts w:hint="eastAsia" w:ascii="仿宋" w:hAnsi="仿宋" w:eastAsia="仿宋" w:cs="仿宋"/>
          <w:spacing w:val="-1"/>
          <w:sz w:val="24"/>
          <w:szCs w:val="24"/>
        </w:rPr>
        <w:t>目前本案仍处于破产清算阶段，本次意向</w:t>
      </w:r>
      <w:r>
        <w:rPr>
          <w:rFonts w:hint="eastAsia" w:ascii="仿宋" w:hAnsi="仿宋" w:eastAsia="仿宋" w:cs="仿宋"/>
          <w:spacing w:val="-1"/>
          <w:sz w:val="24"/>
          <w:szCs w:val="24"/>
          <w:lang w:val="en-US" w:eastAsia="zh-CN"/>
        </w:rPr>
        <w:t>重整</w:t>
      </w:r>
      <w:r>
        <w:rPr>
          <w:rFonts w:hint="eastAsia" w:ascii="仿宋" w:hAnsi="仿宋" w:eastAsia="仿宋" w:cs="仿宋"/>
          <w:spacing w:val="-1"/>
          <w:sz w:val="24"/>
          <w:szCs w:val="24"/>
        </w:rPr>
        <w:t>投资人预招募是为了运用市场机制，充分发现和识别</w:t>
      </w:r>
      <w:r>
        <w:rPr>
          <w:rFonts w:hint="eastAsia" w:ascii="仿宋" w:hAnsi="仿宋" w:eastAsia="仿宋" w:cs="仿宋"/>
          <w:spacing w:val="-1"/>
          <w:sz w:val="24"/>
          <w:szCs w:val="24"/>
          <w:lang w:eastAsia="zh-CN"/>
        </w:rPr>
        <w:t>华尔达公司</w:t>
      </w:r>
      <w:r>
        <w:rPr>
          <w:rFonts w:hint="eastAsia" w:ascii="仿宋" w:hAnsi="仿宋" w:eastAsia="仿宋" w:cs="仿宋"/>
          <w:spacing w:val="-1"/>
          <w:sz w:val="24"/>
          <w:szCs w:val="24"/>
        </w:rPr>
        <w:t>的重整价值以及重整可行性，为后续转换程序做好准备。为此，在</w:t>
      </w:r>
      <w:r>
        <w:rPr>
          <w:rFonts w:hint="eastAsia" w:ascii="仿宋" w:hAnsi="仿宋" w:eastAsia="仿宋" w:cs="仿宋"/>
          <w:spacing w:val="-1"/>
          <w:sz w:val="24"/>
          <w:szCs w:val="24"/>
          <w:lang w:val="en-US" w:eastAsia="zh-CN"/>
        </w:rPr>
        <w:t>东莞中院</w:t>
      </w:r>
      <w:r>
        <w:rPr>
          <w:rFonts w:hint="eastAsia" w:ascii="仿宋" w:hAnsi="仿宋" w:eastAsia="仿宋" w:cs="仿宋"/>
          <w:spacing w:val="-1"/>
          <w:sz w:val="24"/>
          <w:szCs w:val="24"/>
        </w:rPr>
        <w:t>的监督和指导下，管理人面向社会公开预招募意向</w:t>
      </w:r>
      <w:r>
        <w:rPr>
          <w:rFonts w:hint="eastAsia" w:ascii="仿宋" w:hAnsi="仿宋" w:eastAsia="仿宋" w:cs="仿宋"/>
          <w:spacing w:val="-1"/>
          <w:sz w:val="24"/>
          <w:szCs w:val="24"/>
          <w:lang w:val="en-US" w:eastAsia="zh-CN"/>
        </w:rPr>
        <w:t>重整</w:t>
      </w:r>
      <w:r>
        <w:rPr>
          <w:rFonts w:hint="eastAsia" w:ascii="仿宋" w:hAnsi="仿宋" w:eastAsia="仿宋" w:cs="仿宋"/>
          <w:spacing w:val="-1"/>
          <w:sz w:val="24"/>
          <w:szCs w:val="24"/>
        </w:rPr>
        <w:t>投资人，现将相关条件及流程等相关事项说明如下：</w:t>
      </w:r>
    </w:p>
    <w:p w14:paraId="22BEB9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outlineLvl w:val="1"/>
        <w:rPr>
          <w:rFonts w:hint="eastAsia" w:ascii="仿宋" w:hAnsi="仿宋" w:eastAsia="仿宋" w:cs="仿宋"/>
          <w:b/>
          <w:bCs/>
          <w:sz w:val="24"/>
          <w:szCs w:val="24"/>
        </w:rPr>
      </w:pPr>
      <w:r>
        <w:rPr>
          <w:rFonts w:hint="eastAsia" w:ascii="仿宋" w:hAnsi="仿宋" w:eastAsia="仿宋" w:cs="仿宋"/>
          <w:b/>
          <w:bCs/>
          <w:spacing w:val="-1"/>
          <w:sz w:val="24"/>
          <w:szCs w:val="24"/>
        </w:rPr>
        <w:t>一、招募公告须知</w:t>
      </w:r>
    </w:p>
    <w:p w14:paraId="281F67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（一）本招募公告编制目的是向</w:t>
      </w: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披露</w:t>
      </w:r>
      <w:r>
        <w:rPr>
          <w:rFonts w:hint="eastAsia" w:ascii="仿宋" w:hAnsi="仿宋" w:eastAsia="仿宋" w:cs="仿宋"/>
          <w:spacing w:val="-1"/>
          <w:sz w:val="24"/>
          <w:szCs w:val="24"/>
          <w:lang w:eastAsia="zh-CN"/>
        </w:rPr>
        <w:t>华尔达公司</w:t>
      </w:r>
      <w:r>
        <w:rPr>
          <w:rFonts w:hint="eastAsia" w:ascii="仿宋" w:hAnsi="仿宋" w:eastAsia="仿宋" w:cs="仿宋"/>
          <w:spacing w:val="-1"/>
          <w:sz w:val="24"/>
          <w:szCs w:val="24"/>
        </w:rPr>
        <w:t>的基本信息，管理人提供的资料未</w:t>
      </w:r>
      <w:r>
        <w:rPr>
          <w:rFonts w:hint="eastAsia" w:ascii="仿宋" w:hAnsi="仿宋" w:eastAsia="仿宋" w:cs="仿宋"/>
          <w:spacing w:val="-2"/>
          <w:sz w:val="24"/>
          <w:szCs w:val="24"/>
        </w:rPr>
        <w:t>必完</w:t>
      </w:r>
      <w:r>
        <w:rPr>
          <w:rFonts w:hint="eastAsia" w:ascii="仿宋" w:hAnsi="仿宋" w:eastAsia="仿宋" w:cs="仿宋"/>
          <w:sz w:val="24"/>
          <w:szCs w:val="24"/>
        </w:rPr>
        <w:t>整描述重整资产的实际状况及瑕疵情况，意向重整投资人决</w:t>
      </w:r>
      <w:r>
        <w:rPr>
          <w:rFonts w:hint="eastAsia" w:ascii="仿宋" w:hAnsi="仿宋" w:eastAsia="仿宋" w:cs="仿宋"/>
          <w:spacing w:val="-1"/>
          <w:sz w:val="24"/>
          <w:szCs w:val="24"/>
        </w:rPr>
        <w:t>定参与招募前应仔细阅读本公告，理解</w:t>
      </w:r>
      <w:r>
        <w:rPr>
          <w:rFonts w:hint="eastAsia" w:ascii="仿宋" w:hAnsi="仿宋" w:eastAsia="仿宋" w:cs="仿宋"/>
          <w:sz w:val="24"/>
          <w:szCs w:val="24"/>
        </w:rPr>
        <w:t>重整过程中可能存在的风险</w:t>
      </w:r>
      <w:r>
        <w:rPr>
          <w:rFonts w:hint="eastAsia" w:ascii="仿宋" w:hAnsi="仿宋" w:eastAsia="仿宋" w:cs="仿宋"/>
          <w:sz w:val="24"/>
          <w:szCs w:val="24"/>
          <w:lang w:eastAsia="zh-CN"/>
        </w:rPr>
        <w:t>，</w:t>
      </w:r>
      <w:r>
        <w:rPr>
          <w:rFonts w:hint="eastAsia" w:ascii="仿宋" w:hAnsi="仿宋" w:eastAsia="仿宋" w:cs="仿宋"/>
          <w:sz w:val="24"/>
          <w:szCs w:val="24"/>
        </w:rPr>
        <w:t>知晓意向重整投资人在提供重</w:t>
      </w:r>
      <w:r>
        <w:rPr>
          <w:rFonts w:hint="eastAsia" w:ascii="仿宋" w:hAnsi="仿宋" w:eastAsia="仿宋" w:cs="仿宋"/>
          <w:spacing w:val="-1"/>
          <w:sz w:val="24"/>
          <w:szCs w:val="24"/>
        </w:rPr>
        <w:t>整资金外可能尚需承担的其他有关责任</w:t>
      </w:r>
      <w:r>
        <w:rPr>
          <w:rFonts w:hint="eastAsia" w:ascii="仿宋" w:hAnsi="仿宋" w:eastAsia="仿宋" w:cs="仿宋"/>
          <w:spacing w:val="-2"/>
          <w:sz w:val="24"/>
          <w:szCs w:val="24"/>
        </w:rPr>
        <w:t>和义务</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一旦提交重整报名材料即视为同意按</w:t>
      </w:r>
      <w:r>
        <w:rPr>
          <w:rFonts w:hint="eastAsia" w:ascii="仿宋" w:hAnsi="仿宋" w:eastAsia="仿宋" w:cs="仿宋"/>
          <w:spacing w:val="-2"/>
          <w:sz w:val="24"/>
          <w:szCs w:val="24"/>
          <w:lang w:eastAsia="zh-CN"/>
        </w:rPr>
        <w:t>华尔达公司</w:t>
      </w:r>
      <w:r>
        <w:rPr>
          <w:rFonts w:hint="eastAsia" w:ascii="仿宋" w:hAnsi="仿宋" w:eastAsia="仿宋" w:cs="仿宋"/>
          <w:spacing w:val="-2"/>
          <w:sz w:val="24"/>
          <w:szCs w:val="24"/>
        </w:rPr>
        <w:t>现状进行投资。</w:t>
      </w:r>
    </w:p>
    <w:p w14:paraId="0A5E65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（二）本招募公告并不替代意向重整投资人的尽职调查。意向重整投资人在考虑参与</w:t>
      </w:r>
      <w:r>
        <w:rPr>
          <w:rFonts w:hint="eastAsia" w:ascii="仿宋" w:hAnsi="仿宋" w:eastAsia="仿宋" w:cs="仿宋"/>
          <w:spacing w:val="-1"/>
          <w:sz w:val="24"/>
          <w:szCs w:val="24"/>
          <w:lang w:eastAsia="zh-CN"/>
        </w:rPr>
        <w:t>华尔达公司</w:t>
      </w:r>
      <w:r>
        <w:rPr>
          <w:rFonts w:hint="eastAsia" w:ascii="仿宋" w:hAnsi="仿宋" w:eastAsia="仿宋" w:cs="仿宋"/>
          <w:spacing w:val="-1"/>
          <w:sz w:val="24"/>
          <w:szCs w:val="24"/>
        </w:rPr>
        <w:t>重</w:t>
      </w:r>
      <w:r>
        <w:rPr>
          <w:rFonts w:hint="eastAsia" w:ascii="仿宋" w:hAnsi="仿宋" w:eastAsia="仿宋" w:cs="仿宋"/>
          <w:sz w:val="24"/>
          <w:szCs w:val="24"/>
        </w:rPr>
        <w:t>整时，除参考本招募公告披露的信息外，需自行开展相应的</w:t>
      </w:r>
      <w:r>
        <w:rPr>
          <w:rFonts w:hint="eastAsia" w:ascii="仿宋" w:hAnsi="仿宋" w:eastAsia="仿宋" w:cs="仿宋"/>
          <w:spacing w:val="-1"/>
          <w:sz w:val="24"/>
          <w:szCs w:val="24"/>
        </w:rPr>
        <w:t>尽职调查工作</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自行决定是否聘请专业投资顾问或法律顾问进行尽职调查、出具投资意见等</w:t>
      </w:r>
      <w:r>
        <w:rPr>
          <w:rFonts w:hint="eastAsia" w:ascii="仿宋" w:hAnsi="仿宋" w:eastAsia="仿宋" w:cs="仿宋"/>
          <w:spacing w:val="-1"/>
          <w:sz w:val="24"/>
          <w:szCs w:val="24"/>
        </w:rPr>
        <w:t>。本招募公告所披露的相</w:t>
      </w:r>
      <w:r>
        <w:rPr>
          <w:rFonts w:hint="eastAsia" w:ascii="仿宋" w:hAnsi="仿宋" w:eastAsia="仿宋" w:cs="仿宋"/>
          <w:spacing w:val="-2"/>
          <w:sz w:val="24"/>
          <w:szCs w:val="24"/>
        </w:rPr>
        <w:t>关情况为管理人调查所得，不代表管理人对</w:t>
      </w:r>
      <w:r>
        <w:rPr>
          <w:rFonts w:hint="eastAsia" w:ascii="仿宋" w:hAnsi="仿宋" w:eastAsia="仿宋" w:cs="仿宋"/>
          <w:spacing w:val="-2"/>
          <w:sz w:val="24"/>
          <w:szCs w:val="24"/>
          <w:lang w:val="en-US" w:eastAsia="zh-CN"/>
        </w:rPr>
        <w:t>华尔达公司</w:t>
      </w:r>
      <w:r>
        <w:rPr>
          <w:rFonts w:hint="eastAsia" w:ascii="仿宋" w:hAnsi="仿宋" w:eastAsia="仿宋" w:cs="仿宋"/>
          <w:spacing w:val="-2"/>
          <w:sz w:val="24"/>
          <w:szCs w:val="24"/>
        </w:rPr>
        <w:t>现状的承诺。</w:t>
      </w:r>
    </w:p>
    <w:p w14:paraId="757043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（三）本次招募并非要约文件，不具有重整投资协议的约束性效力。</w:t>
      </w:r>
    </w:p>
    <w:p w14:paraId="28F4DE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（四）本次招募</w:t>
      </w:r>
      <w:r>
        <w:rPr>
          <w:rFonts w:hint="eastAsia" w:ascii="仿宋" w:hAnsi="仿宋" w:eastAsia="仿宋" w:cs="仿宋"/>
          <w:spacing w:val="-1"/>
          <w:sz w:val="24"/>
          <w:szCs w:val="24"/>
          <w:lang w:val="en-US" w:eastAsia="zh-CN"/>
        </w:rPr>
        <w:t>意向重整</w:t>
      </w:r>
      <w:r>
        <w:rPr>
          <w:rFonts w:hint="eastAsia" w:ascii="仿宋" w:hAnsi="仿宋" w:eastAsia="仿宋" w:cs="仿宋"/>
          <w:spacing w:val="-1"/>
          <w:sz w:val="24"/>
          <w:szCs w:val="24"/>
        </w:rPr>
        <w:t>投资人，管理人可以根据实际情况决定中止或撤回招募计划，且不承担任何赔</w:t>
      </w:r>
      <w:r>
        <w:rPr>
          <w:rFonts w:hint="eastAsia" w:ascii="仿宋" w:hAnsi="仿宋" w:eastAsia="仿宋" w:cs="仿宋"/>
          <w:spacing w:val="-9"/>
          <w:sz w:val="24"/>
          <w:szCs w:val="24"/>
        </w:rPr>
        <w:t>偿责任。</w:t>
      </w:r>
    </w:p>
    <w:p w14:paraId="59DBB0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五</w:t>
      </w:r>
      <w:r>
        <w:rPr>
          <w:rFonts w:hint="eastAsia" w:ascii="仿宋" w:hAnsi="仿宋" w:eastAsia="仿宋" w:cs="仿宋"/>
          <w:color w:val="auto"/>
          <w:spacing w:val="-2"/>
          <w:sz w:val="24"/>
          <w:szCs w:val="24"/>
          <w:lang w:eastAsia="zh-CN"/>
        </w:rPr>
        <w:t>）因重整事项产生的相应税费应由投资方承担，包括但不限于可能产生的 “因重整程序削债而产生的企业所得税”，意向</w:t>
      </w:r>
      <w:r>
        <w:rPr>
          <w:rFonts w:hint="eastAsia" w:ascii="仿宋" w:hAnsi="仿宋" w:eastAsia="仿宋" w:cs="仿宋"/>
          <w:color w:val="auto"/>
          <w:spacing w:val="-2"/>
          <w:sz w:val="24"/>
          <w:szCs w:val="24"/>
          <w:lang w:val="en-US" w:eastAsia="zh-CN"/>
        </w:rPr>
        <w:t>重整</w:t>
      </w:r>
      <w:r>
        <w:rPr>
          <w:rFonts w:hint="eastAsia" w:ascii="仿宋" w:hAnsi="仿宋" w:eastAsia="仿宋" w:cs="仿宋"/>
          <w:color w:val="auto"/>
          <w:spacing w:val="-2"/>
          <w:sz w:val="24"/>
          <w:szCs w:val="24"/>
          <w:lang w:eastAsia="zh-CN"/>
        </w:rPr>
        <w:t>投资人应当自行向税务部门了解重整项目相应的税务风险。</w:t>
      </w:r>
    </w:p>
    <w:p w14:paraId="2193EA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1"/>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w:t>
      </w:r>
      <w:r>
        <w:rPr>
          <w:rFonts w:hint="eastAsia" w:ascii="仿宋" w:hAnsi="仿宋" w:eastAsia="仿宋" w:cs="仿宋"/>
          <w:sz w:val="24"/>
          <w:szCs w:val="24"/>
          <w:lang w:eastAsia="zh-CN"/>
        </w:rPr>
        <w:t>本次</w:t>
      </w:r>
      <w:r>
        <w:rPr>
          <w:rFonts w:hint="eastAsia" w:ascii="仿宋" w:hAnsi="仿宋" w:eastAsia="仿宋" w:cs="仿宋"/>
          <w:sz w:val="24"/>
          <w:szCs w:val="24"/>
        </w:rPr>
        <w:t>招募不适用《中华人民共和国招标投标法》</w:t>
      </w:r>
      <w:r>
        <w:rPr>
          <w:rFonts w:hint="eastAsia" w:ascii="仿宋" w:hAnsi="仿宋" w:eastAsia="仿宋" w:cs="仿宋"/>
          <w:sz w:val="24"/>
          <w:szCs w:val="24"/>
          <w:lang w:eastAsia="zh-CN"/>
        </w:rPr>
        <w:t>，</w:t>
      </w:r>
      <w:r>
        <w:rPr>
          <w:rFonts w:hint="eastAsia" w:ascii="仿宋" w:hAnsi="仿宋" w:eastAsia="仿宋" w:cs="仿宋"/>
          <w:spacing w:val="-1"/>
          <w:sz w:val="24"/>
          <w:szCs w:val="24"/>
        </w:rPr>
        <w:t>本招募公告的最终解释权归属于管理</w:t>
      </w:r>
      <w:r>
        <w:rPr>
          <w:rFonts w:hint="eastAsia" w:ascii="仿宋" w:hAnsi="仿宋" w:eastAsia="仿宋" w:cs="仿宋"/>
          <w:spacing w:val="-13"/>
          <w:sz w:val="24"/>
          <w:szCs w:val="24"/>
        </w:rPr>
        <w:t>人。</w:t>
      </w:r>
    </w:p>
    <w:p w14:paraId="5BAC12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二、</w:t>
      </w:r>
      <w:r>
        <w:rPr>
          <w:rFonts w:hint="eastAsia" w:ascii="仿宋" w:hAnsi="仿宋" w:eastAsia="仿宋" w:cs="仿宋"/>
          <w:b/>
          <w:bCs/>
          <w:spacing w:val="-1"/>
          <w:sz w:val="24"/>
          <w:szCs w:val="24"/>
          <w:lang w:eastAsia="zh-CN"/>
        </w:rPr>
        <w:t>华尔达公司</w:t>
      </w:r>
      <w:r>
        <w:rPr>
          <w:rFonts w:hint="eastAsia" w:ascii="仿宋" w:hAnsi="仿宋" w:eastAsia="仿宋" w:cs="仿宋"/>
          <w:b/>
          <w:bCs/>
          <w:spacing w:val="-1"/>
          <w:sz w:val="24"/>
          <w:szCs w:val="24"/>
        </w:rPr>
        <w:t>基本情况</w:t>
      </w:r>
    </w:p>
    <w:p w14:paraId="309DAE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仿宋" w:hAnsi="仿宋" w:eastAsia="仿宋" w:cs="仿宋"/>
          <w:b/>
          <w:bCs/>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rPr>
        <w:t>工商登记信息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2177"/>
        <w:gridCol w:w="2017"/>
        <w:gridCol w:w="2097"/>
      </w:tblGrid>
      <w:tr w14:paraId="0962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5" w:type="dxa"/>
            <w:vAlign w:val="center"/>
          </w:tcPr>
          <w:p w14:paraId="5D11129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企业名称</w:t>
            </w:r>
          </w:p>
        </w:tc>
        <w:tc>
          <w:tcPr>
            <w:tcW w:w="6291" w:type="dxa"/>
            <w:gridSpan w:val="3"/>
            <w:vAlign w:val="center"/>
          </w:tcPr>
          <w:p w14:paraId="22CCAB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eastAsia="zh-CN"/>
              </w:rPr>
              <w:t>东莞市华尔达企业管理咨询有限公司</w:t>
            </w:r>
          </w:p>
        </w:tc>
      </w:tr>
      <w:tr w14:paraId="322F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225" w:type="dxa"/>
            <w:vAlign w:val="center"/>
          </w:tcPr>
          <w:p w14:paraId="054AD4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统一社会信用代码</w:t>
            </w:r>
          </w:p>
        </w:tc>
        <w:tc>
          <w:tcPr>
            <w:tcW w:w="6291" w:type="dxa"/>
            <w:gridSpan w:val="3"/>
            <w:vAlign w:val="center"/>
          </w:tcPr>
          <w:p w14:paraId="5DA950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914419007592339265</w:t>
            </w:r>
          </w:p>
        </w:tc>
      </w:tr>
      <w:tr w14:paraId="2168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225" w:type="dxa"/>
            <w:vAlign w:val="center"/>
          </w:tcPr>
          <w:p w14:paraId="4584C9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w:t>
            </w:r>
          </w:p>
        </w:tc>
        <w:tc>
          <w:tcPr>
            <w:tcW w:w="6291" w:type="dxa"/>
            <w:gridSpan w:val="3"/>
            <w:vAlign w:val="center"/>
          </w:tcPr>
          <w:p w14:paraId="6B6A26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"https://www.riskbird.com/person/cdo0eOaDISN.html?personName=%E5%AD%99%E7%87%95%E5%8D%8E" \t "https://www.riskbird.com/search/_blank"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孙燕华</w:t>
            </w:r>
            <w:r>
              <w:rPr>
                <w:rFonts w:hint="eastAsia" w:ascii="仿宋" w:hAnsi="仿宋" w:eastAsia="仿宋" w:cs="仿宋"/>
                <w:sz w:val="24"/>
                <w:szCs w:val="24"/>
                <w:lang w:val="en-US" w:eastAsia="zh-CN"/>
              </w:rPr>
              <w:fldChar w:fldCharType="end"/>
            </w:r>
          </w:p>
        </w:tc>
      </w:tr>
      <w:tr w14:paraId="0B35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4A945F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企业类型</w:t>
            </w:r>
          </w:p>
        </w:tc>
        <w:tc>
          <w:tcPr>
            <w:tcW w:w="2177" w:type="dxa"/>
            <w:vAlign w:val="center"/>
          </w:tcPr>
          <w:p w14:paraId="67F54B4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eastAsia="zh-CN"/>
              </w:rPr>
              <w:t>有限责任公司（自然人投资或控股）</w:t>
            </w:r>
          </w:p>
        </w:tc>
        <w:tc>
          <w:tcPr>
            <w:tcW w:w="2017" w:type="dxa"/>
            <w:vAlign w:val="center"/>
          </w:tcPr>
          <w:p w14:paraId="601672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注册资本</w:t>
            </w:r>
          </w:p>
        </w:tc>
        <w:tc>
          <w:tcPr>
            <w:tcW w:w="2097" w:type="dxa"/>
            <w:vAlign w:val="center"/>
          </w:tcPr>
          <w:p w14:paraId="5E857E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r>
              <w:rPr>
                <w:rFonts w:hint="eastAsia" w:ascii="仿宋" w:hAnsi="仿宋" w:eastAsia="仿宋" w:cs="仿宋"/>
                <w:sz w:val="24"/>
                <w:szCs w:val="24"/>
              </w:rPr>
              <w:t>万元</w:t>
            </w:r>
            <w:r>
              <w:rPr>
                <w:rFonts w:hint="eastAsia" w:ascii="仿宋" w:hAnsi="仿宋" w:eastAsia="仿宋" w:cs="仿宋"/>
                <w:sz w:val="24"/>
                <w:szCs w:val="24"/>
                <w:lang w:val="en-US" w:eastAsia="zh-CN"/>
              </w:rPr>
              <w:t>人民币</w:t>
            </w:r>
          </w:p>
        </w:tc>
      </w:tr>
      <w:tr w14:paraId="4776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225" w:type="dxa"/>
            <w:vAlign w:val="center"/>
          </w:tcPr>
          <w:p w14:paraId="19AE43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成立时间</w:t>
            </w:r>
          </w:p>
        </w:tc>
        <w:tc>
          <w:tcPr>
            <w:tcW w:w="6291" w:type="dxa"/>
            <w:gridSpan w:val="3"/>
            <w:vAlign w:val="center"/>
          </w:tcPr>
          <w:p w14:paraId="0FB703C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2004-03-03</w:t>
            </w:r>
          </w:p>
        </w:tc>
      </w:tr>
      <w:tr w14:paraId="3E1C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34A758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营业期限</w:t>
            </w:r>
          </w:p>
        </w:tc>
        <w:tc>
          <w:tcPr>
            <w:tcW w:w="2177" w:type="dxa"/>
            <w:vAlign w:val="center"/>
          </w:tcPr>
          <w:p w14:paraId="3ECF33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2004-03-03至长期</w:t>
            </w:r>
          </w:p>
        </w:tc>
        <w:tc>
          <w:tcPr>
            <w:tcW w:w="2017" w:type="dxa"/>
            <w:vMerge w:val="restart"/>
            <w:vAlign w:val="center"/>
          </w:tcPr>
          <w:p w14:paraId="63C95E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登记机关</w:t>
            </w:r>
          </w:p>
        </w:tc>
        <w:tc>
          <w:tcPr>
            <w:tcW w:w="2097" w:type="dxa"/>
            <w:vMerge w:val="restart"/>
            <w:vAlign w:val="center"/>
          </w:tcPr>
          <w:p w14:paraId="31FE5E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东莞市市场监督管理局</w:t>
            </w:r>
          </w:p>
        </w:tc>
      </w:tr>
      <w:tr w14:paraId="5639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2375691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注册地址</w:t>
            </w:r>
          </w:p>
        </w:tc>
        <w:tc>
          <w:tcPr>
            <w:tcW w:w="2177" w:type="dxa"/>
            <w:vAlign w:val="center"/>
          </w:tcPr>
          <w:p w14:paraId="382617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东莞市茶山镇茶山工业园</w:t>
            </w:r>
          </w:p>
        </w:tc>
        <w:tc>
          <w:tcPr>
            <w:tcW w:w="2017" w:type="dxa"/>
            <w:vMerge w:val="continue"/>
            <w:vAlign w:val="center"/>
          </w:tcPr>
          <w:p w14:paraId="15533A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p>
        </w:tc>
        <w:tc>
          <w:tcPr>
            <w:tcW w:w="2097" w:type="dxa"/>
            <w:vMerge w:val="continue"/>
            <w:vAlign w:val="center"/>
          </w:tcPr>
          <w:p w14:paraId="024F295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p>
        </w:tc>
      </w:tr>
      <w:tr w14:paraId="031D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39E0FA2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经营范围</w:t>
            </w:r>
          </w:p>
        </w:tc>
        <w:tc>
          <w:tcPr>
            <w:tcW w:w="6291" w:type="dxa"/>
            <w:gridSpan w:val="3"/>
            <w:vAlign w:val="center"/>
          </w:tcPr>
          <w:p w14:paraId="2565BB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企业管理咨询服务；物业租赁服务。（依法须经批准的项目，经相关部门批准后方可开展经营活动）</w:t>
            </w:r>
          </w:p>
        </w:tc>
      </w:tr>
      <w:tr w14:paraId="0383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138C01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经营状态</w:t>
            </w:r>
          </w:p>
        </w:tc>
        <w:tc>
          <w:tcPr>
            <w:tcW w:w="6291" w:type="dxa"/>
            <w:gridSpan w:val="3"/>
            <w:vAlign w:val="center"/>
          </w:tcPr>
          <w:p w14:paraId="3C35814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在营</w:t>
            </w:r>
          </w:p>
        </w:tc>
      </w:tr>
    </w:tbl>
    <w:p w14:paraId="0EE842B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90" w:firstLineChars="200"/>
        <w:textAlignment w:val="baseline"/>
        <w:rPr>
          <w:rFonts w:hint="eastAsia" w:ascii="仿宋" w:hAnsi="仿宋" w:eastAsia="仿宋" w:cs="仿宋"/>
          <w:b/>
          <w:bCs/>
        </w:rPr>
      </w:pPr>
      <w:r>
        <w:rPr>
          <w:rFonts w:hint="eastAsia" w:ascii="仿宋" w:hAnsi="仿宋" w:eastAsia="仿宋" w:cs="仿宋"/>
          <w:b/>
          <w:bCs/>
          <w:spacing w:val="2"/>
          <w:sz w:val="24"/>
          <w:szCs w:val="24"/>
          <w:lang w:eastAsia="zh-CN"/>
        </w:rPr>
        <w:t>（</w:t>
      </w:r>
      <w:r>
        <w:rPr>
          <w:rFonts w:hint="eastAsia" w:ascii="仿宋" w:hAnsi="仿宋" w:eastAsia="仿宋" w:cs="仿宋"/>
          <w:b/>
          <w:bCs/>
          <w:spacing w:val="2"/>
          <w:sz w:val="24"/>
          <w:szCs w:val="24"/>
          <w:lang w:val="en-US" w:eastAsia="zh-CN"/>
        </w:rPr>
        <w:t>二</w:t>
      </w:r>
      <w:r>
        <w:rPr>
          <w:rFonts w:hint="eastAsia" w:ascii="仿宋" w:hAnsi="仿宋" w:eastAsia="仿宋" w:cs="仿宋"/>
          <w:b/>
          <w:bCs/>
          <w:spacing w:val="2"/>
          <w:sz w:val="24"/>
          <w:szCs w:val="24"/>
          <w:lang w:eastAsia="zh-CN"/>
        </w:rPr>
        <w:t>）</w:t>
      </w:r>
      <w:r>
        <w:rPr>
          <w:rFonts w:hint="eastAsia" w:ascii="仿宋" w:hAnsi="仿宋" w:eastAsia="仿宋" w:cs="仿宋"/>
          <w:b/>
          <w:bCs/>
          <w:spacing w:val="2"/>
          <w:sz w:val="24"/>
          <w:szCs w:val="24"/>
        </w:rPr>
        <w:t>股权结构及权利限制</w:t>
      </w:r>
    </w:p>
    <w:tbl>
      <w:tblPr>
        <w:tblStyle w:val="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1707"/>
        <w:gridCol w:w="1708"/>
        <w:gridCol w:w="1464"/>
        <w:gridCol w:w="1977"/>
      </w:tblGrid>
      <w:tr w14:paraId="6EC8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07" w:type="dxa"/>
            <w:vAlign w:val="center"/>
          </w:tcPr>
          <w:p w14:paraId="564AFA34">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bCs/>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bidi="ar"/>
                <w14:textFill>
                  <w14:solidFill>
                    <w14:schemeClr w14:val="tx1"/>
                  </w14:solidFill>
                </w14:textFill>
              </w:rPr>
              <w:t>股东</w:t>
            </w:r>
          </w:p>
        </w:tc>
        <w:tc>
          <w:tcPr>
            <w:tcW w:w="1707" w:type="dxa"/>
            <w:vAlign w:val="center"/>
          </w:tcPr>
          <w:p w14:paraId="4A237D43">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bCs/>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bidi="ar"/>
                <w14:textFill>
                  <w14:solidFill>
                    <w14:schemeClr w14:val="tx1"/>
                  </w14:solidFill>
                </w14:textFill>
              </w:rPr>
              <w:t>认缴出资额</w:t>
            </w:r>
          </w:p>
          <w:p w14:paraId="2C06B5AC">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bCs/>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bidi="ar"/>
                <w14:textFill>
                  <w14:solidFill>
                    <w14:schemeClr w14:val="tx1"/>
                  </w14:solidFill>
                </w14:textFill>
              </w:rPr>
              <w:t>（万元）</w:t>
            </w:r>
          </w:p>
        </w:tc>
        <w:tc>
          <w:tcPr>
            <w:tcW w:w="1708" w:type="dxa"/>
            <w:vAlign w:val="center"/>
          </w:tcPr>
          <w:p w14:paraId="389B2CB6">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bCs/>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bidi="ar"/>
                <w14:textFill>
                  <w14:solidFill>
                    <w14:schemeClr w14:val="tx1"/>
                  </w14:solidFill>
                </w14:textFill>
              </w:rPr>
              <w:t>持股比例（%）</w:t>
            </w:r>
          </w:p>
        </w:tc>
        <w:tc>
          <w:tcPr>
            <w:tcW w:w="1464" w:type="dxa"/>
            <w:vAlign w:val="center"/>
          </w:tcPr>
          <w:p w14:paraId="5EEF72BB">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bCs/>
                <w:color w:val="000000" w:themeColor="text1"/>
                <w:sz w:val="24"/>
                <w:szCs w:val="24"/>
                <w:lang w:val="en-US" w:eastAsia="zh-CN" w:bidi="ar"/>
                <w14:textFill>
                  <w14:solidFill>
                    <w14:schemeClr w14:val="tx1"/>
                  </w14:solidFill>
                </w14:textFill>
              </w:rPr>
            </w:pPr>
            <w:r>
              <w:rPr>
                <w:rFonts w:hint="eastAsia" w:ascii="仿宋" w:hAnsi="仿宋" w:eastAsia="仿宋" w:cs="仿宋"/>
                <w:b/>
                <w:bCs/>
                <w:color w:val="000000" w:themeColor="text1"/>
                <w:sz w:val="24"/>
                <w:szCs w:val="24"/>
                <w:lang w:val="en-US" w:eastAsia="zh-CN" w:bidi="ar"/>
                <w14:textFill>
                  <w14:solidFill>
                    <w14:schemeClr w14:val="tx1"/>
                  </w14:solidFill>
                </w14:textFill>
              </w:rPr>
              <w:t>出资方式</w:t>
            </w:r>
          </w:p>
        </w:tc>
        <w:tc>
          <w:tcPr>
            <w:tcW w:w="1977" w:type="dxa"/>
            <w:vAlign w:val="center"/>
          </w:tcPr>
          <w:p w14:paraId="22DB659E">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bCs/>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bCs/>
                <w:color w:val="000000" w:themeColor="text1"/>
                <w:sz w:val="24"/>
                <w:szCs w:val="24"/>
                <w:lang w:val="en-US" w:eastAsia="zh-CN" w:bidi="ar"/>
                <w14:textFill>
                  <w14:solidFill>
                    <w14:schemeClr w14:val="tx1"/>
                  </w14:solidFill>
                </w14:textFill>
              </w:rPr>
              <w:t>出资期限</w:t>
            </w:r>
          </w:p>
        </w:tc>
      </w:tr>
      <w:tr w14:paraId="1544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Align w:val="center"/>
          </w:tcPr>
          <w:p w14:paraId="2CFB7E34">
            <w:pPr>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t>孙燕华</w:t>
            </w:r>
          </w:p>
        </w:tc>
        <w:tc>
          <w:tcPr>
            <w:tcW w:w="1707" w:type="dxa"/>
            <w:vAlign w:val="center"/>
          </w:tcPr>
          <w:p w14:paraId="3FB48E1A">
            <w:pPr>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t>91</w:t>
            </w:r>
          </w:p>
        </w:tc>
        <w:tc>
          <w:tcPr>
            <w:tcW w:w="1708" w:type="dxa"/>
            <w:vAlign w:val="center"/>
          </w:tcPr>
          <w:p w14:paraId="0B2CB2B5">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91%</w:t>
            </w:r>
          </w:p>
        </w:tc>
        <w:tc>
          <w:tcPr>
            <w:tcW w:w="1464" w:type="dxa"/>
            <w:vAlign w:val="center"/>
          </w:tcPr>
          <w:p w14:paraId="7FA8F301">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t>货币</w:t>
            </w:r>
          </w:p>
        </w:tc>
        <w:tc>
          <w:tcPr>
            <w:tcW w:w="1977" w:type="dxa"/>
            <w:vAlign w:val="center"/>
          </w:tcPr>
          <w:p w14:paraId="7407A2E0">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20</w:t>
            </w:r>
            <w:r>
              <w:rPr>
                <w:rFonts w:hint="eastAsia" w:ascii="仿宋" w:hAnsi="仿宋" w:eastAsia="仿宋" w:cs="仿宋"/>
                <w:color w:val="000000" w:themeColor="text1"/>
                <w:sz w:val="24"/>
                <w:szCs w:val="24"/>
                <w:lang w:val="en-US" w:eastAsia="zh-CN" w:bidi="ar"/>
                <w14:textFill>
                  <w14:solidFill>
                    <w14:schemeClr w14:val="tx1"/>
                  </w14:solidFill>
                </w14:textFill>
              </w:rPr>
              <w:t>25</w:t>
            </w:r>
            <w:r>
              <w:rPr>
                <w:rFonts w:hint="eastAsia" w:ascii="仿宋" w:hAnsi="仿宋" w:eastAsia="仿宋" w:cs="仿宋"/>
                <w:color w:val="000000" w:themeColor="text1"/>
                <w:sz w:val="24"/>
                <w:szCs w:val="24"/>
                <w:lang w:bidi="ar"/>
                <w14:textFill>
                  <w14:solidFill>
                    <w14:schemeClr w14:val="tx1"/>
                  </w14:solidFill>
                </w14:textFill>
              </w:rPr>
              <w:t>年12月31日前缴纳</w:t>
            </w:r>
          </w:p>
        </w:tc>
      </w:tr>
      <w:tr w14:paraId="2BF9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07" w:type="dxa"/>
            <w:vAlign w:val="center"/>
          </w:tcPr>
          <w:p w14:paraId="5CA75778">
            <w:pPr>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谢月娥</w:t>
            </w:r>
          </w:p>
        </w:tc>
        <w:tc>
          <w:tcPr>
            <w:tcW w:w="1707" w:type="dxa"/>
            <w:vAlign w:val="center"/>
          </w:tcPr>
          <w:p w14:paraId="5859E123">
            <w:pPr>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t>9</w:t>
            </w:r>
          </w:p>
        </w:tc>
        <w:tc>
          <w:tcPr>
            <w:tcW w:w="1708" w:type="dxa"/>
            <w:vAlign w:val="center"/>
          </w:tcPr>
          <w:p w14:paraId="20F16304">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t>9%</w:t>
            </w:r>
          </w:p>
        </w:tc>
        <w:tc>
          <w:tcPr>
            <w:tcW w:w="1464" w:type="dxa"/>
            <w:vAlign w:val="center"/>
          </w:tcPr>
          <w:p w14:paraId="3214E216">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t>货币</w:t>
            </w:r>
          </w:p>
        </w:tc>
        <w:tc>
          <w:tcPr>
            <w:tcW w:w="1977" w:type="dxa"/>
            <w:vAlign w:val="center"/>
          </w:tcPr>
          <w:p w14:paraId="1ADB3C87">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color w:val="000000" w:themeColor="text1"/>
                <w:sz w:val="24"/>
                <w:szCs w:val="24"/>
                <w:lang w:bidi="ar"/>
                <w14:textFill>
                  <w14:solidFill>
                    <w14:schemeClr w14:val="tx1"/>
                  </w14:solidFill>
                </w14:textFill>
              </w:rPr>
              <w:t>20</w:t>
            </w:r>
            <w:r>
              <w:rPr>
                <w:rFonts w:hint="eastAsia" w:ascii="仿宋" w:hAnsi="仿宋" w:eastAsia="仿宋" w:cs="仿宋"/>
                <w:color w:val="000000" w:themeColor="text1"/>
                <w:sz w:val="24"/>
                <w:szCs w:val="24"/>
                <w:lang w:val="en-US" w:eastAsia="zh-CN" w:bidi="ar"/>
                <w14:textFill>
                  <w14:solidFill>
                    <w14:schemeClr w14:val="tx1"/>
                  </w14:solidFill>
                </w14:textFill>
              </w:rPr>
              <w:t>04</w:t>
            </w:r>
            <w:r>
              <w:rPr>
                <w:rFonts w:hint="eastAsia" w:ascii="仿宋" w:hAnsi="仿宋" w:eastAsia="仿宋" w:cs="仿宋"/>
                <w:color w:val="000000" w:themeColor="text1"/>
                <w:sz w:val="24"/>
                <w:szCs w:val="24"/>
                <w:lang w:bidi="ar"/>
                <w14:textFill>
                  <w14:solidFill>
                    <w14:schemeClr w14:val="tx1"/>
                  </w14:solidFill>
                </w14:textFill>
              </w:rPr>
              <w:t>年</w:t>
            </w:r>
            <w:r>
              <w:rPr>
                <w:rFonts w:hint="eastAsia" w:ascii="仿宋" w:hAnsi="仿宋" w:eastAsia="仿宋" w:cs="仿宋"/>
                <w:color w:val="000000" w:themeColor="text1"/>
                <w:sz w:val="24"/>
                <w:szCs w:val="24"/>
                <w:lang w:val="en-US" w:eastAsia="zh-CN" w:bidi="ar"/>
                <w14:textFill>
                  <w14:solidFill>
                    <w14:schemeClr w14:val="tx1"/>
                  </w14:solidFill>
                </w14:textFill>
              </w:rPr>
              <w:t>2</w:t>
            </w:r>
            <w:r>
              <w:rPr>
                <w:rFonts w:hint="eastAsia" w:ascii="仿宋" w:hAnsi="仿宋" w:eastAsia="仿宋" w:cs="仿宋"/>
                <w:color w:val="000000" w:themeColor="text1"/>
                <w:sz w:val="24"/>
                <w:szCs w:val="24"/>
                <w:lang w:bidi="ar"/>
                <w14:textFill>
                  <w14:solidFill>
                    <w14:schemeClr w14:val="tx1"/>
                  </w14:solidFill>
                </w14:textFill>
              </w:rPr>
              <w:t>月</w:t>
            </w:r>
            <w:r>
              <w:rPr>
                <w:rFonts w:hint="eastAsia" w:ascii="仿宋" w:hAnsi="仿宋" w:eastAsia="仿宋" w:cs="仿宋"/>
                <w:color w:val="000000" w:themeColor="text1"/>
                <w:sz w:val="24"/>
                <w:szCs w:val="24"/>
                <w:lang w:val="en-US" w:eastAsia="zh-CN" w:bidi="ar"/>
                <w14:textFill>
                  <w14:solidFill>
                    <w14:schemeClr w14:val="tx1"/>
                  </w14:solidFill>
                </w14:textFill>
              </w:rPr>
              <w:t>13</w:t>
            </w:r>
            <w:r>
              <w:rPr>
                <w:rFonts w:hint="eastAsia" w:ascii="仿宋" w:hAnsi="仿宋" w:eastAsia="仿宋" w:cs="仿宋"/>
                <w:color w:val="000000" w:themeColor="text1"/>
                <w:sz w:val="24"/>
                <w:szCs w:val="24"/>
                <w:lang w:bidi="ar"/>
                <w14:textFill>
                  <w14:solidFill>
                    <w14:schemeClr w14:val="tx1"/>
                  </w14:solidFill>
                </w14:textFill>
              </w:rPr>
              <w:t>日前缴纳</w:t>
            </w:r>
          </w:p>
        </w:tc>
      </w:tr>
      <w:tr w14:paraId="0104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07" w:type="dxa"/>
            <w:vAlign w:val="center"/>
          </w:tcPr>
          <w:p w14:paraId="2C5A8CAA">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合计</w:t>
            </w:r>
          </w:p>
        </w:tc>
        <w:tc>
          <w:tcPr>
            <w:tcW w:w="1707" w:type="dxa"/>
            <w:vAlign w:val="center"/>
          </w:tcPr>
          <w:p w14:paraId="2683CF78">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color w:val="000000" w:themeColor="text1"/>
                <w:sz w:val="24"/>
                <w:szCs w:val="24"/>
                <w:lang w:val="en-US" w:eastAsia="zh-CN" w:bidi="ar"/>
                <w14:textFill>
                  <w14:solidFill>
                    <w14:schemeClr w14:val="tx1"/>
                  </w14:solidFill>
                </w14:textFill>
              </w:rPr>
              <w:t>100</w:t>
            </w:r>
          </w:p>
        </w:tc>
        <w:tc>
          <w:tcPr>
            <w:tcW w:w="1708" w:type="dxa"/>
            <w:vAlign w:val="center"/>
          </w:tcPr>
          <w:p w14:paraId="010B7BD2">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vertAlign w:val="baseline"/>
                <w:lang w:val="en-US" w:eastAsia="zh-CN" w:bidi="ar"/>
                <w14:textFill>
                  <w14:solidFill>
                    <w14:schemeClr w14:val="tx1"/>
                  </w14:solidFill>
                </w14:textFill>
              </w:rPr>
              <w:t>100%</w:t>
            </w:r>
          </w:p>
        </w:tc>
        <w:tc>
          <w:tcPr>
            <w:tcW w:w="1464" w:type="dxa"/>
            <w:vAlign w:val="center"/>
          </w:tcPr>
          <w:p w14:paraId="63F7655B">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w:t>
            </w:r>
          </w:p>
        </w:tc>
        <w:tc>
          <w:tcPr>
            <w:tcW w:w="1977" w:type="dxa"/>
            <w:vAlign w:val="center"/>
          </w:tcPr>
          <w:p w14:paraId="762F61F5">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hint="eastAsia" w:ascii="仿宋" w:hAnsi="仿宋" w:eastAsia="仿宋" w:cs="仿宋"/>
                <w:b w:val="0"/>
                <w:bCs w:val="0"/>
                <w:color w:val="000000" w:themeColor="text1"/>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lang w:val="en-US" w:eastAsia="zh-CN" w:bidi="ar"/>
                <w14:textFill>
                  <w14:solidFill>
                    <w14:schemeClr w14:val="tx1"/>
                  </w14:solidFill>
                </w14:textFill>
              </w:rPr>
              <w:t>/</w:t>
            </w:r>
          </w:p>
        </w:tc>
      </w:tr>
    </w:tbl>
    <w:p w14:paraId="204F11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仿宋" w:hAnsi="仿宋" w:eastAsia="仿宋" w:cs="仿宋"/>
          <w:b/>
          <w:bCs/>
          <w:sz w:val="24"/>
          <w:szCs w:val="24"/>
        </w:rPr>
      </w:pPr>
      <w:r>
        <w:rPr>
          <w:rFonts w:hint="eastAsia" w:ascii="仿宋" w:hAnsi="仿宋" w:eastAsia="仿宋" w:cs="仿宋"/>
          <w:b/>
          <w:bCs/>
          <w:spacing w:val="-4"/>
          <w:sz w:val="24"/>
          <w:szCs w:val="24"/>
        </w:rPr>
        <w:t>三、资产情况</w:t>
      </w:r>
    </w:p>
    <w:p w14:paraId="016524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textAlignment w:val="baseline"/>
        <w:outlineLvl w:val="1"/>
        <w:rPr>
          <w:rFonts w:hint="eastAsia" w:ascii="仿宋" w:hAnsi="仿宋" w:eastAsia="仿宋" w:cs="仿宋"/>
          <w:b/>
          <w:bCs/>
          <w:spacing w:val="2"/>
          <w:sz w:val="24"/>
          <w:szCs w:val="24"/>
        </w:rPr>
      </w:pPr>
      <w:r>
        <w:rPr>
          <w:rFonts w:hint="eastAsia" w:ascii="仿宋" w:hAnsi="仿宋" w:eastAsia="仿宋" w:cs="仿宋"/>
          <w:b/>
          <w:bCs/>
          <w:spacing w:val="2"/>
          <w:sz w:val="24"/>
          <w:szCs w:val="24"/>
          <w:lang w:eastAsia="zh-CN"/>
        </w:rPr>
        <w:t>（</w:t>
      </w:r>
      <w:r>
        <w:rPr>
          <w:rFonts w:hint="eastAsia" w:ascii="仿宋" w:hAnsi="仿宋" w:eastAsia="仿宋" w:cs="仿宋"/>
          <w:b/>
          <w:bCs/>
          <w:spacing w:val="2"/>
          <w:sz w:val="24"/>
          <w:szCs w:val="24"/>
          <w:lang w:val="en-US" w:eastAsia="zh-CN"/>
        </w:rPr>
        <w:t>一</w:t>
      </w:r>
      <w:r>
        <w:rPr>
          <w:rFonts w:hint="eastAsia" w:ascii="仿宋" w:hAnsi="仿宋" w:eastAsia="仿宋" w:cs="仿宋"/>
          <w:b/>
          <w:bCs/>
          <w:spacing w:val="2"/>
          <w:sz w:val="24"/>
          <w:szCs w:val="24"/>
          <w:lang w:eastAsia="zh-CN"/>
        </w:rPr>
        <w:t>）</w:t>
      </w:r>
      <w:r>
        <w:rPr>
          <w:rFonts w:hint="eastAsia" w:ascii="仿宋" w:hAnsi="仿宋" w:eastAsia="仿宋" w:cs="仿宋"/>
          <w:b/>
          <w:bCs/>
          <w:spacing w:val="2"/>
          <w:sz w:val="24"/>
          <w:szCs w:val="24"/>
        </w:rPr>
        <w:t>不动产</w:t>
      </w:r>
    </w:p>
    <w:p w14:paraId="250314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根据东莞市自然资源局出具的《不动产登记信息查询结果》，华尔达公司名下有9宗不动产登记信息，详见下表：</w:t>
      </w:r>
    </w:p>
    <w:p w14:paraId="67FE62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textAlignment w:val="baseline"/>
        <w:outlineLvl w:val="1"/>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1.土地使用权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723"/>
        <w:gridCol w:w="1336"/>
        <w:gridCol w:w="2369"/>
        <w:gridCol w:w="803"/>
        <w:gridCol w:w="845"/>
        <w:gridCol w:w="828"/>
      </w:tblGrid>
      <w:tr w14:paraId="3866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5BDCFD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序号</w:t>
            </w:r>
          </w:p>
        </w:tc>
        <w:tc>
          <w:tcPr>
            <w:tcW w:w="1725" w:type="dxa"/>
            <w:vAlign w:val="center"/>
          </w:tcPr>
          <w:p w14:paraId="44CB6A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坐落</w:t>
            </w:r>
          </w:p>
        </w:tc>
        <w:tc>
          <w:tcPr>
            <w:tcW w:w="1336" w:type="dxa"/>
            <w:vAlign w:val="center"/>
          </w:tcPr>
          <w:p w14:paraId="2CA379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面积</w:t>
            </w:r>
          </w:p>
          <w:p w14:paraId="02AF59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c>
          <w:tcPr>
            <w:tcW w:w="2370" w:type="dxa"/>
            <w:shd w:val="clear" w:color="auto" w:fill="auto"/>
            <w:vAlign w:val="center"/>
          </w:tcPr>
          <w:p w14:paraId="48FE22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权属证书</w:t>
            </w:r>
          </w:p>
        </w:tc>
        <w:tc>
          <w:tcPr>
            <w:tcW w:w="804" w:type="dxa"/>
            <w:shd w:val="clear" w:color="auto" w:fill="auto"/>
            <w:vAlign w:val="center"/>
          </w:tcPr>
          <w:p w14:paraId="094697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权利性质</w:t>
            </w:r>
          </w:p>
        </w:tc>
        <w:tc>
          <w:tcPr>
            <w:tcW w:w="846" w:type="dxa"/>
            <w:vAlign w:val="center"/>
          </w:tcPr>
          <w:p w14:paraId="56856A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抵押登记</w:t>
            </w:r>
          </w:p>
        </w:tc>
        <w:tc>
          <w:tcPr>
            <w:tcW w:w="829" w:type="dxa"/>
            <w:vAlign w:val="center"/>
          </w:tcPr>
          <w:p w14:paraId="69D9F8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查封登记</w:t>
            </w:r>
          </w:p>
        </w:tc>
      </w:tr>
      <w:tr w14:paraId="0693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1FE610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w:t>
            </w:r>
          </w:p>
        </w:tc>
        <w:tc>
          <w:tcPr>
            <w:tcW w:w="1725" w:type="dxa"/>
            <w:vAlign w:val="center"/>
          </w:tcPr>
          <w:p w14:paraId="0B79EE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东莞市茶山镇粟边村地段</w:t>
            </w:r>
          </w:p>
        </w:tc>
        <w:tc>
          <w:tcPr>
            <w:tcW w:w="1336" w:type="dxa"/>
            <w:vAlign w:val="center"/>
          </w:tcPr>
          <w:p w14:paraId="3EDC7B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31883.90</w:t>
            </w:r>
          </w:p>
        </w:tc>
        <w:tc>
          <w:tcPr>
            <w:tcW w:w="2370" w:type="dxa"/>
            <w:vAlign w:val="center"/>
          </w:tcPr>
          <w:p w14:paraId="311A04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东府国用字（2004）第特572号</w:t>
            </w:r>
          </w:p>
        </w:tc>
        <w:tc>
          <w:tcPr>
            <w:tcW w:w="804" w:type="dxa"/>
            <w:vAlign w:val="center"/>
          </w:tcPr>
          <w:p w14:paraId="18CB60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出让</w:t>
            </w:r>
          </w:p>
        </w:tc>
        <w:tc>
          <w:tcPr>
            <w:tcW w:w="846" w:type="dxa"/>
            <w:vAlign w:val="center"/>
          </w:tcPr>
          <w:p w14:paraId="64C9B5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c>
          <w:tcPr>
            <w:tcW w:w="829" w:type="dxa"/>
            <w:vAlign w:val="center"/>
          </w:tcPr>
          <w:p w14:paraId="01DB17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r>
      <w:tr w14:paraId="5A8F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5397C8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w:t>
            </w:r>
          </w:p>
        </w:tc>
        <w:tc>
          <w:tcPr>
            <w:tcW w:w="1725" w:type="dxa"/>
            <w:shd w:val="clear" w:color="auto" w:fill="auto"/>
            <w:vAlign w:val="center"/>
          </w:tcPr>
          <w:p w14:paraId="606907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茶山镇孙屋村</w:t>
            </w:r>
          </w:p>
        </w:tc>
        <w:tc>
          <w:tcPr>
            <w:tcW w:w="1336" w:type="dxa"/>
            <w:shd w:val="clear" w:color="auto" w:fill="auto"/>
            <w:vAlign w:val="center"/>
          </w:tcPr>
          <w:p w14:paraId="5EE073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30254.34</w:t>
            </w:r>
          </w:p>
        </w:tc>
        <w:tc>
          <w:tcPr>
            <w:tcW w:w="2370" w:type="dxa"/>
            <w:shd w:val="clear" w:color="auto" w:fill="auto"/>
            <w:vAlign w:val="center"/>
          </w:tcPr>
          <w:p w14:paraId="3FE560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东府国用字（2004）第特573号</w:t>
            </w:r>
          </w:p>
        </w:tc>
        <w:tc>
          <w:tcPr>
            <w:tcW w:w="804" w:type="dxa"/>
            <w:shd w:val="clear" w:color="auto" w:fill="auto"/>
            <w:vAlign w:val="center"/>
          </w:tcPr>
          <w:p w14:paraId="6CD2CB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出让</w:t>
            </w:r>
          </w:p>
        </w:tc>
        <w:tc>
          <w:tcPr>
            <w:tcW w:w="846" w:type="dxa"/>
            <w:shd w:val="clear" w:color="auto" w:fill="auto"/>
            <w:vAlign w:val="center"/>
          </w:tcPr>
          <w:p w14:paraId="0091C1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c>
          <w:tcPr>
            <w:tcW w:w="829" w:type="dxa"/>
            <w:shd w:val="clear" w:color="auto" w:fill="auto"/>
            <w:vAlign w:val="center"/>
          </w:tcPr>
          <w:p w14:paraId="148D95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r>
      <w:tr w14:paraId="676D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7CB009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w:t>
            </w:r>
          </w:p>
        </w:tc>
        <w:tc>
          <w:tcPr>
            <w:tcW w:w="1725" w:type="dxa"/>
            <w:shd w:val="clear" w:color="auto" w:fill="auto"/>
            <w:vAlign w:val="center"/>
          </w:tcPr>
          <w:p w14:paraId="1D987A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茶山镇超朗村</w:t>
            </w:r>
          </w:p>
        </w:tc>
        <w:tc>
          <w:tcPr>
            <w:tcW w:w="1336" w:type="dxa"/>
            <w:shd w:val="clear" w:color="auto" w:fill="auto"/>
            <w:vAlign w:val="center"/>
          </w:tcPr>
          <w:p w14:paraId="73784A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1035.52</w:t>
            </w:r>
          </w:p>
        </w:tc>
        <w:tc>
          <w:tcPr>
            <w:tcW w:w="2370" w:type="dxa"/>
            <w:shd w:val="clear" w:color="auto" w:fill="auto"/>
            <w:vAlign w:val="center"/>
          </w:tcPr>
          <w:p w14:paraId="32A770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东府国用字（2004）第特654号</w:t>
            </w:r>
          </w:p>
        </w:tc>
        <w:tc>
          <w:tcPr>
            <w:tcW w:w="804" w:type="dxa"/>
            <w:shd w:val="clear" w:color="auto" w:fill="auto"/>
            <w:vAlign w:val="center"/>
          </w:tcPr>
          <w:p w14:paraId="2FAC3C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出让</w:t>
            </w:r>
          </w:p>
        </w:tc>
        <w:tc>
          <w:tcPr>
            <w:tcW w:w="846" w:type="dxa"/>
            <w:shd w:val="clear" w:color="auto" w:fill="auto"/>
            <w:vAlign w:val="center"/>
          </w:tcPr>
          <w:p w14:paraId="30A634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c>
          <w:tcPr>
            <w:tcW w:w="829" w:type="dxa"/>
            <w:shd w:val="clear" w:color="auto" w:fill="auto"/>
            <w:vAlign w:val="center"/>
          </w:tcPr>
          <w:p w14:paraId="5818C7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r>
      <w:tr w14:paraId="6D39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3FF65A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w:t>
            </w:r>
          </w:p>
        </w:tc>
        <w:tc>
          <w:tcPr>
            <w:tcW w:w="1725" w:type="dxa"/>
            <w:shd w:val="clear" w:color="auto" w:fill="auto"/>
            <w:vAlign w:val="center"/>
          </w:tcPr>
          <w:p w14:paraId="34CBA4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东莞市茶山镇冲美村</w:t>
            </w:r>
          </w:p>
        </w:tc>
        <w:tc>
          <w:tcPr>
            <w:tcW w:w="1336" w:type="dxa"/>
            <w:shd w:val="clear" w:color="auto" w:fill="auto"/>
            <w:vAlign w:val="center"/>
          </w:tcPr>
          <w:p w14:paraId="27E264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2404.76</w:t>
            </w:r>
          </w:p>
        </w:tc>
        <w:tc>
          <w:tcPr>
            <w:tcW w:w="2370" w:type="dxa"/>
            <w:shd w:val="clear" w:color="auto" w:fill="auto"/>
            <w:vAlign w:val="center"/>
          </w:tcPr>
          <w:p w14:paraId="555AD2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东府国用字（2005）第特700号</w:t>
            </w:r>
          </w:p>
        </w:tc>
        <w:tc>
          <w:tcPr>
            <w:tcW w:w="804" w:type="dxa"/>
            <w:shd w:val="clear" w:color="auto" w:fill="auto"/>
            <w:vAlign w:val="center"/>
          </w:tcPr>
          <w:p w14:paraId="26E8F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出让</w:t>
            </w:r>
          </w:p>
        </w:tc>
        <w:tc>
          <w:tcPr>
            <w:tcW w:w="846" w:type="dxa"/>
            <w:shd w:val="clear" w:color="auto" w:fill="auto"/>
            <w:vAlign w:val="center"/>
          </w:tcPr>
          <w:p w14:paraId="1D96D7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无</w:t>
            </w:r>
          </w:p>
        </w:tc>
        <w:tc>
          <w:tcPr>
            <w:tcW w:w="829" w:type="dxa"/>
            <w:shd w:val="clear" w:color="auto" w:fill="auto"/>
            <w:vAlign w:val="center"/>
          </w:tcPr>
          <w:p w14:paraId="38DBE4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r>
      <w:tr w14:paraId="620C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5AFAE5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w:t>
            </w:r>
          </w:p>
        </w:tc>
        <w:tc>
          <w:tcPr>
            <w:tcW w:w="1725" w:type="dxa"/>
            <w:shd w:val="clear" w:color="auto" w:fill="auto"/>
            <w:vAlign w:val="center"/>
          </w:tcPr>
          <w:p w14:paraId="278A89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东莞市茶山镇上元村</w:t>
            </w:r>
          </w:p>
        </w:tc>
        <w:tc>
          <w:tcPr>
            <w:tcW w:w="1336" w:type="dxa"/>
            <w:shd w:val="clear" w:color="auto" w:fill="auto"/>
            <w:vAlign w:val="center"/>
          </w:tcPr>
          <w:p w14:paraId="68567B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8510.5</w:t>
            </w:r>
          </w:p>
        </w:tc>
        <w:tc>
          <w:tcPr>
            <w:tcW w:w="2370" w:type="dxa"/>
            <w:shd w:val="clear" w:color="auto" w:fill="auto"/>
            <w:vAlign w:val="center"/>
          </w:tcPr>
          <w:p w14:paraId="1ADA32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东府集用字（2010）第1900300108226号</w:t>
            </w:r>
          </w:p>
        </w:tc>
        <w:tc>
          <w:tcPr>
            <w:tcW w:w="804" w:type="dxa"/>
            <w:shd w:val="clear" w:color="auto" w:fill="auto"/>
            <w:vAlign w:val="center"/>
          </w:tcPr>
          <w:p w14:paraId="40CA28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集体土地出让</w:t>
            </w:r>
          </w:p>
        </w:tc>
        <w:tc>
          <w:tcPr>
            <w:tcW w:w="846" w:type="dxa"/>
            <w:shd w:val="clear" w:color="auto" w:fill="auto"/>
            <w:vAlign w:val="center"/>
          </w:tcPr>
          <w:p w14:paraId="1622A1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c>
          <w:tcPr>
            <w:tcW w:w="829" w:type="dxa"/>
            <w:shd w:val="clear" w:color="auto" w:fill="auto"/>
            <w:vAlign w:val="center"/>
          </w:tcPr>
          <w:p w14:paraId="18539F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r>
      <w:tr w14:paraId="3E41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gridSpan w:val="2"/>
            <w:vAlign w:val="center"/>
          </w:tcPr>
          <w:p w14:paraId="791E1B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合计</w:t>
            </w:r>
          </w:p>
        </w:tc>
        <w:tc>
          <w:tcPr>
            <w:tcW w:w="1336" w:type="dxa"/>
            <w:shd w:val="clear" w:color="auto" w:fill="auto"/>
            <w:vAlign w:val="center"/>
          </w:tcPr>
          <w:p w14:paraId="133B3B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fldChar w:fldCharType="begin"/>
            </w:r>
            <w:r>
              <w:rPr>
                <w:rFonts w:hint="eastAsia" w:ascii="仿宋" w:hAnsi="仿宋" w:eastAsia="仿宋" w:cs="仿宋"/>
                <w:spacing w:val="2"/>
                <w:sz w:val="24"/>
                <w:szCs w:val="24"/>
                <w:lang w:val="en-US" w:eastAsia="zh-CN"/>
              </w:rPr>
              <w:instrText xml:space="preserve"> = sum(C2:C6) \* MERGEFORMAT </w:instrText>
            </w:r>
            <w:r>
              <w:rPr>
                <w:rFonts w:hint="eastAsia" w:ascii="仿宋" w:hAnsi="仿宋" w:eastAsia="仿宋" w:cs="仿宋"/>
                <w:spacing w:val="2"/>
                <w:sz w:val="24"/>
                <w:szCs w:val="24"/>
                <w:lang w:val="en-US" w:eastAsia="zh-CN"/>
              </w:rPr>
              <w:fldChar w:fldCharType="separate"/>
            </w:r>
            <w:r>
              <w:rPr>
                <w:rFonts w:hint="eastAsia" w:ascii="仿宋" w:hAnsi="仿宋" w:eastAsia="仿宋" w:cs="仿宋"/>
                <w:spacing w:val="2"/>
                <w:sz w:val="24"/>
                <w:szCs w:val="24"/>
                <w:lang w:val="en-US" w:eastAsia="zh-CN"/>
              </w:rPr>
              <w:t>74089.02</w:t>
            </w:r>
            <w:r>
              <w:rPr>
                <w:rFonts w:hint="eastAsia" w:ascii="仿宋" w:hAnsi="仿宋" w:eastAsia="仿宋" w:cs="仿宋"/>
                <w:spacing w:val="2"/>
                <w:sz w:val="24"/>
                <w:szCs w:val="24"/>
                <w:lang w:val="en-US" w:eastAsia="zh-CN"/>
              </w:rPr>
              <w:fldChar w:fldCharType="end"/>
            </w:r>
          </w:p>
        </w:tc>
        <w:tc>
          <w:tcPr>
            <w:tcW w:w="2370" w:type="dxa"/>
            <w:shd w:val="clear" w:color="auto" w:fill="auto"/>
            <w:vAlign w:val="center"/>
          </w:tcPr>
          <w:p w14:paraId="37C0B5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c>
          <w:tcPr>
            <w:tcW w:w="804" w:type="dxa"/>
            <w:shd w:val="clear" w:color="auto" w:fill="auto"/>
            <w:vAlign w:val="center"/>
          </w:tcPr>
          <w:p w14:paraId="6A3FB3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c>
          <w:tcPr>
            <w:tcW w:w="846" w:type="dxa"/>
            <w:shd w:val="clear" w:color="auto" w:fill="auto"/>
            <w:vAlign w:val="center"/>
          </w:tcPr>
          <w:p w14:paraId="34F28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c>
          <w:tcPr>
            <w:tcW w:w="829" w:type="dxa"/>
            <w:shd w:val="clear" w:color="auto" w:fill="auto"/>
            <w:vAlign w:val="center"/>
          </w:tcPr>
          <w:p w14:paraId="1514CD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r>
    </w:tbl>
    <w:p w14:paraId="2A0AE9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textAlignment w:val="baseline"/>
        <w:outlineLvl w:val="1"/>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2.厂房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723"/>
        <w:gridCol w:w="1336"/>
        <w:gridCol w:w="1997"/>
        <w:gridCol w:w="1175"/>
        <w:gridCol w:w="845"/>
        <w:gridCol w:w="828"/>
      </w:tblGrid>
      <w:tr w14:paraId="140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2" w:type="dxa"/>
            <w:vAlign w:val="center"/>
          </w:tcPr>
          <w:p w14:paraId="286706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序号</w:t>
            </w:r>
          </w:p>
        </w:tc>
        <w:tc>
          <w:tcPr>
            <w:tcW w:w="1725" w:type="dxa"/>
            <w:vAlign w:val="center"/>
          </w:tcPr>
          <w:p w14:paraId="4A7963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坐落</w:t>
            </w:r>
          </w:p>
        </w:tc>
        <w:tc>
          <w:tcPr>
            <w:tcW w:w="1336" w:type="dxa"/>
            <w:vAlign w:val="center"/>
          </w:tcPr>
          <w:p w14:paraId="26C6F9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面积</w:t>
            </w:r>
          </w:p>
          <w:p w14:paraId="72DD2E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c>
          <w:tcPr>
            <w:tcW w:w="1998" w:type="dxa"/>
            <w:shd w:val="clear" w:color="auto" w:fill="auto"/>
            <w:vAlign w:val="center"/>
          </w:tcPr>
          <w:p w14:paraId="1A37F1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权属证书</w:t>
            </w:r>
          </w:p>
        </w:tc>
        <w:tc>
          <w:tcPr>
            <w:tcW w:w="1176" w:type="dxa"/>
            <w:shd w:val="clear" w:color="auto" w:fill="auto"/>
            <w:vAlign w:val="center"/>
          </w:tcPr>
          <w:p w14:paraId="104FF0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权利性质</w:t>
            </w:r>
          </w:p>
        </w:tc>
        <w:tc>
          <w:tcPr>
            <w:tcW w:w="846" w:type="dxa"/>
            <w:vAlign w:val="center"/>
          </w:tcPr>
          <w:p w14:paraId="0EAB84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抵押登记</w:t>
            </w:r>
          </w:p>
        </w:tc>
        <w:tc>
          <w:tcPr>
            <w:tcW w:w="829" w:type="dxa"/>
            <w:vAlign w:val="center"/>
          </w:tcPr>
          <w:p w14:paraId="0BC503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查封登记</w:t>
            </w:r>
          </w:p>
        </w:tc>
      </w:tr>
      <w:tr w14:paraId="6A17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048370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w:t>
            </w:r>
          </w:p>
        </w:tc>
        <w:tc>
          <w:tcPr>
            <w:tcW w:w="1725" w:type="dxa"/>
            <w:vAlign w:val="center"/>
          </w:tcPr>
          <w:p w14:paraId="634CB5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东莞市茶山镇粟边村地段</w:t>
            </w:r>
          </w:p>
        </w:tc>
        <w:tc>
          <w:tcPr>
            <w:tcW w:w="1336" w:type="dxa"/>
            <w:vAlign w:val="center"/>
          </w:tcPr>
          <w:p w14:paraId="4F2BD4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3840.00</w:t>
            </w:r>
          </w:p>
        </w:tc>
        <w:tc>
          <w:tcPr>
            <w:tcW w:w="1998" w:type="dxa"/>
            <w:vAlign w:val="center"/>
          </w:tcPr>
          <w:p w14:paraId="759BFD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粤房地权证莞字第3300508090号</w:t>
            </w:r>
          </w:p>
        </w:tc>
        <w:tc>
          <w:tcPr>
            <w:tcW w:w="1176" w:type="dxa"/>
            <w:vAlign w:val="center"/>
          </w:tcPr>
          <w:p w14:paraId="3613FE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土地：出让/房屋：自建房</w:t>
            </w:r>
          </w:p>
        </w:tc>
        <w:tc>
          <w:tcPr>
            <w:tcW w:w="846" w:type="dxa"/>
            <w:vAlign w:val="center"/>
          </w:tcPr>
          <w:p w14:paraId="1B4AC7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c>
          <w:tcPr>
            <w:tcW w:w="829" w:type="dxa"/>
            <w:vAlign w:val="center"/>
          </w:tcPr>
          <w:p w14:paraId="5997AE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r>
      <w:tr w14:paraId="3BB6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30DA76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w:t>
            </w:r>
          </w:p>
        </w:tc>
        <w:tc>
          <w:tcPr>
            <w:tcW w:w="1725" w:type="dxa"/>
            <w:shd w:val="clear" w:color="auto" w:fill="auto"/>
            <w:vAlign w:val="center"/>
          </w:tcPr>
          <w:p w14:paraId="1B3009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东莞市茶山镇粟边村地段</w:t>
            </w:r>
          </w:p>
        </w:tc>
        <w:tc>
          <w:tcPr>
            <w:tcW w:w="1336" w:type="dxa"/>
            <w:shd w:val="clear" w:color="auto" w:fill="auto"/>
            <w:vAlign w:val="center"/>
          </w:tcPr>
          <w:p w14:paraId="7359AE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3360.00</w:t>
            </w:r>
          </w:p>
        </w:tc>
        <w:tc>
          <w:tcPr>
            <w:tcW w:w="1998" w:type="dxa"/>
            <w:shd w:val="clear" w:color="auto" w:fill="auto"/>
            <w:vAlign w:val="center"/>
          </w:tcPr>
          <w:p w14:paraId="20EA93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粤房地权证莞字第3300508091号</w:t>
            </w:r>
          </w:p>
        </w:tc>
        <w:tc>
          <w:tcPr>
            <w:tcW w:w="1176" w:type="dxa"/>
            <w:shd w:val="clear" w:color="auto" w:fill="auto"/>
            <w:vAlign w:val="center"/>
          </w:tcPr>
          <w:p w14:paraId="66E284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土地：出让/房屋：自建房</w:t>
            </w:r>
          </w:p>
        </w:tc>
        <w:tc>
          <w:tcPr>
            <w:tcW w:w="846" w:type="dxa"/>
            <w:shd w:val="clear" w:color="auto" w:fill="auto"/>
            <w:vAlign w:val="center"/>
          </w:tcPr>
          <w:p w14:paraId="7118CD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c>
          <w:tcPr>
            <w:tcW w:w="829" w:type="dxa"/>
            <w:shd w:val="clear" w:color="auto" w:fill="auto"/>
            <w:vAlign w:val="center"/>
          </w:tcPr>
          <w:p w14:paraId="773480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r>
      <w:tr w14:paraId="2F12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3700DC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w:t>
            </w:r>
          </w:p>
        </w:tc>
        <w:tc>
          <w:tcPr>
            <w:tcW w:w="1725" w:type="dxa"/>
            <w:shd w:val="clear" w:color="auto" w:fill="auto"/>
            <w:vAlign w:val="center"/>
          </w:tcPr>
          <w:p w14:paraId="0F7726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东莞市茶山镇粟边村地段</w:t>
            </w:r>
          </w:p>
        </w:tc>
        <w:tc>
          <w:tcPr>
            <w:tcW w:w="1336" w:type="dxa"/>
            <w:shd w:val="clear" w:color="auto" w:fill="auto"/>
            <w:vAlign w:val="center"/>
          </w:tcPr>
          <w:p w14:paraId="5B68D8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4724.59</w:t>
            </w:r>
          </w:p>
        </w:tc>
        <w:tc>
          <w:tcPr>
            <w:tcW w:w="1998" w:type="dxa"/>
            <w:shd w:val="clear" w:color="auto" w:fill="auto"/>
            <w:vAlign w:val="center"/>
          </w:tcPr>
          <w:p w14:paraId="578AD3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粤房地权证莞字第3300508093号</w:t>
            </w:r>
          </w:p>
        </w:tc>
        <w:tc>
          <w:tcPr>
            <w:tcW w:w="1176" w:type="dxa"/>
            <w:shd w:val="clear" w:color="auto" w:fill="auto"/>
            <w:vAlign w:val="center"/>
          </w:tcPr>
          <w:p w14:paraId="1F551B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土地：出让/房屋：自建房</w:t>
            </w:r>
          </w:p>
        </w:tc>
        <w:tc>
          <w:tcPr>
            <w:tcW w:w="846" w:type="dxa"/>
            <w:shd w:val="clear" w:color="auto" w:fill="auto"/>
            <w:vAlign w:val="center"/>
          </w:tcPr>
          <w:p w14:paraId="2F63C8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c>
          <w:tcPr>
            <w:tcW w:w="829" w:type="dxa"/>
            <w:shd w:val="clear" w:color="auto" w:fill="auto"/>
            <w:vAlign w:val="center"/>
          </w:tcPr>
          <w:p w14:paraId="40C9C8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r>
      <w:tr w14:paraId="3E09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14:paraId="4ACA25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w:t>
            </w:r>
          </w:p>
        </w:tc>
        <w:tc>
          <w:tcPr>
            <w:tcW w:w="1725" w:type="dxa"/>
            <w:shd w:val="clear" w:color="auto" w:fill="auto"/>
            <w:vAlign w:val="center"/>
          </w:tcPr>
          <w:p w14:paraId="6E57BD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东莞市茶山镇粟边村地段</w:t>
            </w:r>
          </w:p>
        </w:tc>
        <w:tc>
          <w:tcPr>
            <w:tcW w:w="1336" w:type="dxa"/>
            <w:shd w:val="clear" w:color="auto" w:fill="auto"/>
            <w:vAlign w:val="center"/>
          </w:tcPr>
          <w:p w14:paraId="4F8329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5467.62</w:t>
            </w:r>
          </w:p>
        </w:tc>
        <w:tc>
          <w:tcPr>
            <w:tcW w:w="1998" w:type="dxa"/>
            <w:shd w:val="clear" w:color="auto" w:fill="auto"/>
            <w:vAlign w:val="center"/>
          </w:tcPr>
          <w:p w14:paraId="05D7C7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粤房地权证莞字第3300508094号</w:t>
            </w:r>
          </w:p>
        </w:tc>
        <w:tc>
          <w:tcPr>
            <w:tcW w:w="1176" w:type="dxa"/>
            <w:shd w:val="clear" w:color="auto" w:fill="auto"/>
            <w:vAlign w:val="center"/>
          </w:tcPr>
          <w:p w14:paraId="6A4846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土地：出让/房屋：自建房</w:t>
            </w:r>
          </w:p>
        </w:tc>
        <w:tc>
          <w:tcPr>
            <w:tcW w:w="846" w:type="dxa"/>
            <w:shd w:val="clear" w:color="auto" w:fill="auto"/>
            <w:vAlign w:val="center"/>
          </w:tcPr>
          <w:p w14:paraId="0B2851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c>
          <w:tcPr>
            <w:tcW w:w="829" w:type="dxa"/>
            <w:shd w:val="clear" w:color="auto" w:fill="auto"/>
            <w:vAlign w:val="center"/>
          </w:tcPr>
          <w:p w14:paraId="542C08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有</w:t>
            </w:r>
          </w:p>
        </w:tc>
      </w:tr>
      <w:tr w14:paraId="2D82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gridSpan w:val="2"/>
            <w:vAlign w:val="center"/>
          </w:tcPr>
          <w:p w14:paraId="041DAE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合计</w:t>
            </w:r>
          </w:p>
        </w:tc>
        <w:tc>
          <w:tcPr>
            <w:tcW w:w="1336" w:type="dxa"/>
            <w:shd w:val="clear" w:color="auto" w:fill="auto"/>
            <w:vAlign w:val="center"/>
          </w:tcPr>
          <w:p w14:paraId="2FA1E9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fldChar w:fldCharType="begin"/>
            </w:r>
            <w:r>
              <w:rPr>
                <w:rFonts w:hint="eastAsia" w:ascii="仿宋" w:hAnsi="仿宋" w:eastAsia="仿宋" w:cs="仿宋"/>
                <w:spacing w:val="2"/>
                <w:sz w:val="24"/>
                <w:szCs w:val="24"/>
                <w:lang w:val="en-US" w:eastAsia="zh-CN"/>
              </w:rPr>
              <w:instrText xml:space="preserve"> = sum(C2:C5) \* MERGEFORMAT </w:instrText>
            </w:r>
            <w:r>
              <w:rPr>
                <w:rFonts w:hint="eastAsia" w:ascii="仿宋" w:hAnsi="仿宋" w:eastAsia="仿宋" w:cs="仿宋"/>
                <w:spacing w:val="2"/>
                <w:sz w:val="24"/>
                <w:szCs w:val="24"/>
                <w:lang w:val="en-US" w:eastAsia="zh-CN"/>
              </w:rPr>
              <w:fldChar w:fldCharType="separate"/>
            </w:r>
            <w:r>
              <w:rPr>
                <w:rFonts w:hint="eastAsia" w:ascii="仿宋" w:hAnsi="仿宋" w:eastAsia="仿宋" w:cs="仿宋"/>
                <w:spacing w:val="2"/>
                <w:sz w:val="24"/>
                <w:szCs w:val="24"/>
                <w:lang w:val="en-US" w:eastAsia="zh-CN"/>
              </w:rPr>
              <w:t>17392.21</w:t>
            </w:r>
            <w:r>
              <w:rPr>
                <w:rFonts w:hint="eastAsia" w:ascii="仿宋" w:hAnsi="仿宋" w:eastAsia="仿宋" w:cs="仿宋"/>
                <w:spacing w:val="2"/>
                <w:sz w:val="24"/>
                <w:szCs w:val="24"/>
                <w:lang w:val="en-US" w:eastAsia="zh-CN"/>
              </w:rPr>
              <w:fldChar w:fldCharType="end"/>
            </w:r>
          </w:p>
        </w:tc>
        <w:tc>
          <w:tcPr>
            <w:tcW w:w="1998" w:type="dxa"/>
            <w:shd w:val="clear" w:color="auto" w:fill="auto"/>
            <w:vAlign w:val="center"/>
          </w:tcPr>
          <w:p w14:paraId="6E9170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c>
          <w:tcPr>
            <w:tcW w:w="1176" w:type="dxa"/>
            <w:shd w:val="clear" w:color="auto" w:fill="auto"/>
            <w:vAlign w:val="center"/>
          </w:tcPr>
          <w:p w14:paraId="2FAF23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c>
          <w:tcPr>
            <w:tcW w:w="846" w:type="dxa"/>
            <w:shd w:val="clear" w:color="auto" w:fill="auto"/>
            <w:vAlign w:val="center"/>
          </w:tcPr>
          <w:p w14:paraId="1AB1DA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c>
          <w:tcPr>
            <w:tcW w:w="829" w:type="dxa"/>
            <w:shd w:val="clear" w:color="auto" w:fill="auto"/>
            <w:vAlign w:val="center"/>
          </w:tcPr>
          <w:p w14:paraId="6D7F5F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w:t>
            </w:r>
          </w:p>
        </w:tc>
      </w:tr>
    </w:tbl>
    <w:p w14:paraId="27855C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1"/>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以上不动产均有租客承租。其中，坐落于东莞市茶山镇冲美村的土地，在清算过程中，谢艳娥向管理人主张其为该地块的实际权属人，其挂靠华尔达公司购买该地块，并向管理人提交了相关材料。</w:t>
      </w:r>
    </w:p>
    <w:p w14:paraId="73A1B7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textAlignment w:val="baseline"/>
        <w:outlineLvl w:val="1"/>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（二）车辆</w:t>
      </w:r>
    </w:p>
    <w:tbl>
      <w:tblPr>
        <w:tblStyle w:val="8"/>
        <w:tblW w:w="9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3"/>
        <w:gridCol w:w="4435"/>
        <w:gridCol w:w="3072"/>
      </w:tblGrid>
      <w:tr w14:paraId="04AE5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1723" w:type="dxa"/>
            <w:vAlign w:val="center"/>
          </w:tcPr>
          <w:p w14:paraId="358DF4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rPr>
            </w:pPr>
            <w:r>
              <w:rPr>
                <w:rFonts w:hint="eastAsia" w:ascii="仿宋" w:hAnsi="仿宋" w:eastAsia="仿宋" w:cs="仿宋"/>
                <w:spacing w:val="2"/>
                <w:sz w:val="24"/>
                <w:szCs w:val="24"/>
              </w:rPr>
              <w:t>序号</w:t>
            </w:r>
          </w:p>
        </w:tc>
        <w:tc>
          <w:tcPr>
            <w:tcW w:w="4435" w:type="dxa"/>
            <w:vAlign w:val="center"/>
          </w:tcPr>
          <w:p w14:paraId="7BBD8A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rPr>
            </w:pPr>
            <w:r>
              <w:rPr>
                <w:rFonts w:hint="eastAsia" w:ascii="仿宋" w:hAnsi="仿宋" w:eastAsia="仿宋" w:cs="仿宋"/>
                <w:spacing w:val="2"/>
                <w:sz w:val="24"/>
                <w:szCs w:val="24"/>
              </w:rPr>
              <w:t>车牌</w:t>
            </w:r>
          </w:p>
        </w:tc>
        <w:tc>
          <w:tcPr>
            <w:tcW w:w="3072" w:type="dxa"/>
            <w:vAlign w:val="center"/>
          </w:tcPr>
          <w:p w14:paraId="40944C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rPr>
            </w:pPr>
            <w:r>
              <w:rPr>
                <w:rFonts w:hint="eastAsia" w:ascii="仿宋" w:hAnsi="仿宋" w:eastAsia="仿宋" w:cs="仿宋"/>
                <w:spacing w:val="2"/>
                <w:sz w:val="24"/>
                <w:szCs w:val="24"/>
              </w:rPr>
              <w:t>品牌</w:t>
            </w:r>
          </w:p>
        </w:tc>
      </w:tr>
      <w:tr w14:paraId="7EF9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723" w:type="dxa"/>
            <w:vAlign w:val="center"/>
          </w:tcPr>
          <w:p w14:paraId="0D048B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rPr>
            </w:pPr>
            <w:r>
              <w:rPr>
                <w:rFonts w:hint="eastAsia" w:ascii="仿宋" w:hAnsi="仿宋" w:eastAsia="仿宋" w:cs="仿宋"/>
                <w:spacing w:val="2"/>
                <w:sz w:val="24"/>
                <w:szCs w:val="24"/>
              </w:rPr>
              <w:t>1</w:t>
            </w:r>
          </w:p>
        </w:tc>
        <w:tc>
          <w:tcPr>
            <w:tcW w:w="4435" w:type="dxa"/>
            <w:vAlign w:val="center"/>
          </w:tcPr>
          <w:p w14:paraId="5CF95B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rPr>
            </w:pPr>
            <w:r>
              <w:rPr>
                <w:rFonts w:hint="eastAsia" w:ascii="仿宋" w:hAnsi="仿宋" w:eastAsia="仿宋" w:cs="仿宋"/>
                <w:spacing w:val="2"/>
                <w:sz w:val="24"/>
                <w:szCs w:val="24"/>
                <w:lang w:eastAsia="zh-CN"/>
              </w:rPr>
              <w:t>粤S0M09K</w:t>
            </w:r>
          </w:p>
        </w:tc>
        <w:tc>
          <w:tcPr>
            <w:tcW w:w="3072" w:type="dxa"/>
            <w:vAlign w:val="center"/>
          </w:tcPr>
          <w:p w14:paraId="11137D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1"/>
              <w:rPr>
                <w:rFonts w:hint="eastAsia" w:ascii="仿宋" w:hAnsi="仿宋" w:eastAsia="仿宋" w:cs="仿宋"/>
                <w:spacing w:val="2"/>
                <w:sz w:val="24"/>
                <w:szCs w:val="24"/>
              </w:rPr>
            </w:pPr>
            <w:r>
              <w:rPr>
                <w:rFonts w:hint="eastAsia" w:ascii="仿宋" w:hAnsi="仿宋" w:eastAsia="仿宋" w:cs="仿宋"/>
                <w:spacing w:val="2"/>
                <w:sz w:val="24"/>
                <w:szCs w:val="24"/>
                <w:lang w:eastAsia="zh-CN"/>
              </w:rPr>
              <w:t>英菲尼迪050s</w:t>
            </w:r>
          </w:p>
        </w:tc>
      </w:tr>
    </w:tbl>
    <w:p w14:paraId="3E6B6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outlineLvl w:val="1"/>
        <w:rPr>
          <w:rFonts w:hint="eastAsia" w:ascii="仿宋" w:hAnsi="仿宋" w:eastAsia="仿宋" w:cs="仿宋"/>
          <w:b/>
          <w:bCs/>
          <w:sz w:val="24"/>
          <w:szCs w:val="24"/>
        </w:rPr>
      </w:pPr>
      <w:r>
        <w:rPr>
          <w:rFonts w:hint="eastAsia" w:ascii="仿宋" w:hAnsi="仿宋" w:eastAsia="仿宋" w:cs="仿宋"/>
          <w:b/>
          <w:bCs/>
          <w:spacing w:val="-4"/>
          <w:sz w:val="24"/>
          <w:szCs w:val="24"/>
        </w:rPr>
        <w:t>四、</w:t>
      </w:r>
      <w:r>
        <w:rPr>
          <w:rFonts w:hint="eastAsia" w:ascii="仿宋" w:hAnsi="仿宋" w:eastAsia="仿宋" w:cs="仿宋"/>
          <w:b/>
          <w:bCs/>
          <w:spacing w:val="-4"/>
          <w:sz w:val="24"/>
          <w:szCs w:val="24"/>
          <w:lang w:eastAsia="zh-CN"/>
        </w:rPr>
        <w:t>意向重整投资人</w:t>
      </w:r>
      <w:r>
        <w:rPr>
          <w:rFonts w:hint="eastAsia" w:ascii="仿宋" w:hAnsi="仿宋" w:eastAsia="仿宋" w:cs="仿宋"/>
          <w:b/>
          <w:bCs/>
          <w:spacing w:val="-4"/>
          <w:sz w:val="24"/>
          <w:szCs w:val="24"/>
        </w:rPr>
        <w:t>资格条件</w:t>
      </w:r>
    </w:p>
    <w:p w14:paraId="1F8D04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lang w:eastAsia="zh-CN"/>
        </w:rPr>
        <w:t>（一）</w:t>
      </w:r>
      <w:r>
        <w:rPr>
          <w:rFonts w:hint="eastAsia" w:ascii="仿宋" w:hAnsi="仿宋" w:eastAsia="仿宋" w:cs="仿宋"/>
          <w:spacing w:val="-1"/>
          <w:sz w:val="24"/>
          <w:szCs w:val="24"/>
        </w:rPr>
        <w:t>根据中华人民共和国法律设立并存续的法人、非法人组织或具备完</w:t>
      </w:r>
      <w:r>
        <w:rPr>
          <w:rFonts w:hint="eastAsia" w:ascii="仿宋" w:hAnsi="仿宋" w:eastAsia="仿宋" w:cs="仿宋"/>
          <w:spacing w:val="-2"/>
          <w:sz w:val="24"/>
          <w:szCs w:val="24"/>
        </w:rPr>
        <w:t>全民事行为能力的自然</w:t>
      </w:r>
      <w:r>
        <w:rPr>
          <w:rFonts w:hint="eastAsia" w:ascii="仿宋" w:hAnsi="仿宋" w:eastAsia="仿宋" w:cs="仿宋"/>
          <w:spacing w:val="-19"/>
          <w:sz w:val="24"/>
          <w:szCs w:val="24"/>
        </w:rPr>
        <w:t>人；</w:t>
      </w:r>
    </w:p>
    <w:p w14:paraId="573B44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lang w:eastAsia="zh-CN"/>
        </w:rPr>
        <w:t>（二）</w:t>
      </w:r>
      <w:r>
        <w:rPr>
          <w:rFonts w:hint="eastAsia" w:ascii="仿宋" w:hAnsi="仿宋" w:eastAsia="仿宋" w:cs="仿宋"/>
          <w:spacing w:val="-1"/>
          <w:sz w:val="24"/>
          <w:szCs w:val="24"/>
        </w:rPr>
        <w:t>财务状况良好，拥有足够的投资资金，能够在规定的时间内支付投资款，能</w:t>
      </w:r>
      <w:r>
        <w:rPr>
          <w:rFonts w:hint="eastAsia" w:ascii="仿宋" w:hAnsi="仿宋" w:eastAsia="仿宋" w:cs="仿宋"/>
          <w:spacing w:val="-2"/>
          <w:sz w:val="24"/>
          <w:szCs w:val="24"/>
        </w:rPr>
        <w:t>够出具相应的资信</w:t>
      </w:r>
      <w:r>
        <w:rPr>
          <w:rFonts w:hint="eastAsia" w:ascii="仿宋" w:hAnsi="仿宋" w:eastAsia="仿宋" w:cs="仿宋"/>
          <w:spacing w:val="-6"/>
          <w:sz w:val="24"/>
          <w:szCs w:val="24"/>
        </w:rPr>
        <w:t>证明或其他履约能力证明；</w:t>
      </w:r>
    </w:p>
    <w:p w14:paraId="571B96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lang w:eastAsia="zh-CN"/>
        </w:rPr>
        <w:t>（三）</w:t>
      </w:r>
      <w:r>
        <w:rPr>
          <w:rFonts w:hint="eastAsia" w:ascii="仿宋" w:hAnsi="仿宋" w:eastAsia="仿宋" w:cs="仿宋"/>
          <w:spacing w:val="-1"/>
          <w:sz w:val="24"/>
          <w:szCs w:val="24"/>
        </w:rPr>
        <w:t>近三年无重大违法行为或涉嫌重大违法行为，未被人民法院和主管税务机关</w:t>
      </w:r>
      <w:r>
        <w:rPr>
          <w:rFonts w:hint="eastAsia" w:ascii="仿宋" w:hAnsi="仿宋" w:eastAsia="仿宋" w:cs="仿宋"/>
          <w:spacing w:val="-2"/>
          <w:sz w:val="24"/>
          <w:szCs w:val="24"/>
        </w:rPr>
        <w:t>列入失信名单，无较大数额到期未清偿的债务，未有作为被执行人的尚未结案的</w:t>
      </w:r>
      <w:r>
        <w:rPr>
          <w:rFonts w:hint="eastAsia" w:ascii="仿宋" w:hAnsi="仿宋" w:eastAsia="仿宋" w:cs="仿宋"/>
          <w:spacing w:val="-3"/>
          <w:sz w:val="24"/>
          <w:szCs w:val="24"/>
        </w:rPr>
        <w:t>执行案件；</w:t>
      </w:r>
    </w:p>
    <w:p w14:paraId="55E7AA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lang w:eastAsia="zh-CN"/>
        </w:rPr>
        <w:t>（四）</w:t>
      </w:r>
      <w:r>
        <w:rPr>
          <w:rFonts w:hint="eastAsia" w:ascii="仿宋" w:hAnsi="仿宋" w:eastAsia="仿宋" w:cs="仿宋"/>
          <w:spacing w:val="-1"/>
          <w:sz w:val="24"/>
          <w:szCs w:val="24"/>
        </w:rPr>
        <w:t>投资人为法人、非法人组织的，机构设置应当健全、内控制度有效运行，具</w:t>
      </w:r>
      <w:r>
        <w:rPr>
          <w:rFonts w:hint="eastAsia" w:ascii="仿宋" w:hAnsi="仿宋" w:eastAsia="仿宋" w:cs="仿宋"/>
          <w:spacing w:val="-2"/>
          <w:sz w:val="24"/>
          <w:szCs w:val="24"/>
        </w:rPr>
        <w:t>备良好的经营管理</w:t>
      </w:r>
      <w:r>
        <w:rPr>
          <w:rFonts w:hint="eastAsia" w:ascii="仿宋" w:hAnsi="仿宋" w:eastAsia="仿宋" w:cs="仿宋"/>
          <w:spacing w:val="-19"/>
          <w:sz w:val="24"/>
          <w:szCs w:val="24"/>
        </w:rPr>
        <w:t>能力；</w:t>
      </w:r>
    </w:p>
    <w:p w14:paraId="1461F4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lang w:eastAsia="zh-CN"/>
        </w:rPr>
        <w:t>（五）</w:t>
      </w:r>
      <w:r>
        <w:rPr>
          <w:rFonts w:hint="eastAsia" w:ascii="仿宋" w:hAnsi="仿宋" w:eastAsia="仿宋" w:cs="仿宋"/>
          <w:spacing w:val="-1"/>
          <w:sz w:val="24"/>
          <w:szCs w:val="24"/>
        </w:rPr>
        <w:t>本次重整</w:t>
      </w:r>
      <w:r>
        <w:rPr>
          <w:rFonts w:hint="eastAsia" w:ascii="仿宋" w:hAnsi="仿宋" w:eastAsia="仿宋" w:cs="仿宋"/>
          <w:spacing w:val="-1"/>
          <w:sz w:val="24"/>
          <w:szCs w:val="24"/>
          <w:lang w:val="en-US" w:eastAsia="zh-CN"/>
        </w:rPr>
        <w:t>预招募</w:t>
      </w:r>
      <w:r>
        <w:rPr>
          <w:rFonts w:hint="eastAsia" w:ascii="仿宋" w:hAnsi="仿宋" w:eastAsia="仿宋" w:cs="仿宋"/>
          <w:spacing w:val="-1"/>
          <w:sz w:val="24"/>
          <w:szCs w:val="24"/>
        </w:rPr>
        <w:t>公告接受联合投资人，联合投资人中至少须有一名投资人符合投资</w:t>
      </w:r>
      <w:r>
        <w:rPr>
          <w:rFonts w:hint="eastAsia" w:ascii="仿宋" w:hAnsi="仿宋" w:eastAsia="仿宋" w:cs="仿宋"/>
          <w:spacing w:val="-2"/>
          <w:sz w:val="24"/>
          <w:szCs w:val="24"/>
        </w:rPr>
        <w:t>人条件，联合投资</w:t>
      </w:r>
      <w:r>
        <w:rPr>
          <w:rFonts w:hint="eastAsia" w:ascii="仿宋" w:hAnsi="仿宋" w:eastAsia="仿宋" w:cs="仿宋"/>
          <w:spacing w:val="-4"/>
          <w:sz w:val="24"/>
          <w:szCs w:val="24"/>
        </w:rPr>
        <w:t>人应当联合制作报名材料。</w:t>
      </w:r>
    </w:p>
    <w:p w14:paraId="23B5B5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五、</w:t>
      </w:r>
      <w:r>
        <w:rPr>
          <w:rFonts w:hint="eastAsia" w:ascii="仿宋" w:hAnsi="仿宋" w:eastAsia="仿宋" w:cs="仿宋"/>
          <w:b/>
          <w:bCs/>
          <w:spacing w:val="-2"/>
          <w:sz w:val="24"/>
          <w:szCs w:val="24"/>
          <w:lang w:val="en-US" w:eastAsia="zh-CN"/>
        </w:rPr>
        <w:t>招募流程</w:t>
      </w:r>
    </w:p>
    <w:p w14:paraId="431E10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rPr>
        <w:t>（一）报名</w:t>
      </w:r>
    </w:p>
    <w:p w14:paraId="6EB84C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仿宋" w:hAnsi="仿宋" w:eastAsia="仿宋" w:cs="仿宋"/>
          <w:b/>
          <w:bCs/>
          <w:sz w:val="24"/>
          <w:szCs w:val="24"/>
          <w:lang w:eastAsia="zh-CN"/>
        </w:rPr>
      </w:pPr>
      <w:r>
        <w:rPr>
          <w:rFonts w:hint="eastAsia" w:ascii="仿宋" w:hAnsi="仿宋" w:eastAsia="仿宋" w:cs="仿宋"/>
          <w:b/>
          <w:bCs/>
          <w:spacing w:val="-2"/>
          <w:sz w:val="24"/>
          <w:szCs w:val="24"/>
          <w:lang w:val="en-US" w:eastAsia="zh-CN"/>
        </w:rPr>
        <w:t>1.报名</w:t>
      </w:r>
      <w:r>
        <w:rPr>
          <w:rFonts w:hint="eastAsia" w:ascii="仿宋" w:hAnsi="仿宋" w:eastAsia="仿宋" w:cs="仿宋"/>
          <w:b/>
          <w:bCs/>
          <w:spacing w:val="-2"/>
          <w:sz w:val="24"/>
          <w:szCs w:val="24"/>
        </w:rPr>
        <w:t>时间</w:t>
      </w:r>
    </w:p>
    <w:p w14:paraId="1B2D4A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 w:hAnsi="仿宋" w:eastAsia="仿宋" w:cs="仿宋"/>
          <w:spacing w:val="-3"/>
          <w:sz w:val="24"/>
          <w:szCs w:val="24"/>
          <w:u w:val="none" w:color="auto"/>
        </w:rPr>
      </w:pPr>
      <w:r>
        <w:rPr>
          <w:rFonts w:hint="eastAsia" w:ascii="仿宋" w:hAnsi="仿宋" w:eastAsia="仿宋" w:cs="仿宋"/>
          <w:spacing w:val="-3"/>
          <w:sz w:val="24"/>
          <w:szCs w:val="24"/>
          <w:u w:val="none" w:color="auto"/>
          <w:lang w:val="en-US" w:eastAsia="zh-CN"/>
        </w:rPr>
        <w:t>意向</w:t>
      </w:r>
      <w:r>
        <w:rPr>
          <w:rFonts w:hint="eastAsia" w:ascii="仿宋" w:hAnsi="仿宋" w:eastAsia="仿宋" w:cs="仿宋"/>
          <w:spacing w:val="-3"/>
          <w:sz w:val="24"/>
          <w:szCs w:val="24"/>
          <w:u w:val="none" w:color="auto"/>
        </w:rPr>
        <w:t>重整投资人应自本公告发布之日起至</w:t>
      </w:r>
      <w:r>
        <w:rPr>
          <w:rFonts w:hint="eastAsia" w:ascii="仿宋" w:hAnsi="仿宋" w:eastAsia="仿宋" w:cs="仿宋"/>
          <w:color w:val="0000FF"/>
          <w:spacing w:val="-3"/>
          <w:sz w:val="24"/>
          <w:szCs w:val="24"/>
          <w:u w:val="none" w:color="auto"/>
          <w:lang w:eastAsia="zh-CN"/>
        </w:rPr>
        <w:t>2026年7月7日</w:t>
      </w:r>
      <w:r>
        <w:rPr>
          <w:rFonts w:hint="eastAsia" w:ascii="仿宋" w:hAnsi="仿宋" w:eastAsia="仿宋" w:cs="仿宋"/>
          <w:color w:val="0000FF"/>
          <w:spacing w:val="-3"/>
          <w:sz w:val="24"/>
          <w:szCs w:val="24"/>
          <w:u w:val="none" w:color="auto"/>
        </w:rPr>
        <w:t>18时</w:t>
      </w:r>
      <w:r>
        <w:rPr>
          <w:rFonts w:hint="eastAsia" w:ascii="仿宋" w:hAnsi="仿宋" w:eastAsia="仿宋" w:cs="仿宋"/>
          <w:spacing w:val="-3"/>
          <w:sz w:val="24"/>
          <w:szCs w:val="24"/>
          <w:u w:val="none" w:color="auto"/>
        </w:rPr>
        <w:t>前（以投邮时间为准）将报名材料纸质版（一式三份）邮寄至管理人指定地点，同时发送报名材料电子版至管理人邮箱。本次</w:t>
      </w:r>
      <w:r>
        <w:rPr>
          <w:rFonts w:hint="eastAsia" w:ascii="仿宋" w:hAnsi="仿宋" w:eastAsia="仿宋" w:cs="仿宋"/>
          <w:spacing w:val="-3"/>
          <w:sz w:val="24"/>
          <w:szCs w:val="24"/>
          <w:u w:val="none" w:color="auto"/>
          <w:lang w:val="en-US" w:eastAsia="zh-CN"/>
        </w:rPr>
        <w:t>意向</w:t>
      </w:r>
      <w:r>
        <w:rPr>
          <w:rFonts w:hint="eastAsia" w:ascii="仿宋" w:hAnsi="仿宋" w:eastAsia="仿宋" w:cs="仿宋"/>
          <w:spacing w:val="-3"/>
          <w:sz w:val="24"/>
          <w:szCs w:val="24"/>
          <w:u w:val="none" w:color="auto"/>
        </w:rPr>
        <w:t>重整投资人招募不接受现场报名。</w:t>
      </w:r>
    </w:p>
    <w:p w14:paraId="33D572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rFonts w:hint="default" w:ascii="仿宋" w:hAnsi="仿宋" w:eastAsia="仿宋" w:cs="仿宋"/>
          <w:b/>
          <w:bCs/>
          <w:spacing w:val="-1"/>
          <w:sz w:val="24"/>
          <w:szCs w:val="24"/>
          <w:u w:val="none" w:color="auto"/>
          <w:lang w:val="en-US" w:eastAsia="zh-CN"/>
        </w:rPr>
      </w:pPr>
      <w:r>
        <w:rPr>
          <w:rFonts w:hint="eastAsia" w:ascii="仿宋" w:hAnsi="仿宋" w:eastAsia="仿宋" w:cs="仿宋"/>
          <w:b/>
          <w:bCs/>
          <w:spacing w:val="-1"/>
          <w:sz w:val="24"/>
          <w:szCs w:val="24"/>
          <w:u w:val="none" w:color="auto"/>
        </w:rPr>
        <w:t>2.</w:t>
      </w:r>
      <w:r>
        <w:rPr>
          <w:rFonts w:hint="eastAsia" w:ascii="仿宋" w:hAnsi="仿宋" w:eastAsia="仿宋" w:cs="仿宋"/>
          <w:b/>
          <w:bCs/>
          <w:spacing w:val="-1"/>
          <w:sz w:val="24"/>
          <w:szCs w:val="24"/>
          <w:u w:val="none" w:color="auto"/>
          <w:lang w:val="en-US" w:eastAsia="zh-CN"/>
        </w:rPr>
        <w:t>邮寄地址及联系方式</w:t>
      </w:r>
    </w:p>
    <w:p w14:paraId="669D1C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2"/>
          <w:sz w:val="24"/>
          <w:szCs w:val="24"/>
          <w:u w:val="none" w:color="auto"/>
        </w:rPr>
      </w:pPr>
      <w:r>
        <w:rPr>
          <w:rFonts w:hint="eastAsia" w:ascii="仿宋" w:hAnsi="仿宋" w:eastAsia="仿宋" w:cs="仿宋"/>
          <w:spacing w:val="-1"/>
          <w:sz w:val="24"/>
          <w:szCs w:val="24"/>
          <w:u w:val="none" w:color="auto"/>
          <w:lang w:eastAsia="zh-CN"/>
        </w:rPr>
        <w:t>（</w:t>
      </w:r>
      <w:r>
        <w:rPr>
          <w:rFonts w:hint="eastAsia" w:ascii="仿宋" w:hAnsi="仿宋" w:eastAsia="仿宋" w:cs="仿宋"/>
          <w:spacing w:val="-1"/>
          <w:sz w:val="24"/>
          <w:szCs w:val="24"/>
          <w:u w:val="none" w:color="auto"/>
          <w:lang w:val="en-US" w:eastAsia="zh-CN"/>
        </w:rPr>
        <w:t>1</w:t>
      </w:r>
      <w:r>
        <w:rPr>
          <w:rFonts w:hint="eastAsia" w:ascii="仿宋" w:hAnsi="仿宋" w:eastAsia="仿宋" w:cs="仿宋"/>
          <w:spacing w:val="-1"/>
          <w:sz w:val="24"/>
          <w:szCs w:val="24"/>
          <w:u w:val="none" w:color="auto"/>
          <w:lang w:eastAsia="zh-CN"/>
        </w:rPr>
        <w:t>）</w:t>
      </w:r>
      <w:r>
        <w:rPr>
          <w:rFonts w:hint="eastAsia" w:ascii="仿宋" w:hAnsi="仿宋" w:eastAsia="仿宋" w:cs="仿宋"/>
          <w:spacing w:val="-1"/>
          <w:sz w:val="24"/>
          <w:szCs w:val="24"/>
          <w:u w:val="none" w:color="auto"/>
          <w:lang w:val="en-US" w:eastAsia="zh-CN"/>
        </w:rPr>
        <w:t>邮寄地址</w:t>
      </w:r>
      <w:r>
        <w:rPr>
          <w:rFonts w:hint="eastAsia" w:ascii="仿宋" w:hAnsi="仿宋" w:eastAsia="仿宋" w:cs="仿宋"/>
          <w:spacing w:val="-2"/>
          <w:sz w:val="24"/>
          <w:szCs w:val="24"/>
          <w:u w:val="none" w:color="auto"/>
        </w:rPr>
        <w:t>：广东省东莞市南城街道车站路16号南城碧桂园湾区国际二号楼12楼1201-1206；</w:t>
      </w:r>
    </w:p>
    <w:p w14:paraId="6F8906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电子邮箱：fashilvshi@163.com;</w:t>
      </w:r>
    </w:p>
    <w:p w14:paraId="3BE573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3</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联系人</w:t>
      </w:r>
      <w:r>
        <w:rPr>
          <w:rFonts w:hint="eastAsia" w:ascii="仿宋" w:hAnsi="仿宋" w:eastAsia="仿宋" w:cs="仿宋"/>
          <w:spacing w:val="-2"/>
          <w:sz w:val="24"/>
          <w:szCs w:val="24"/>
          <w:lang w:val="en-US" w:eastAsia="zh-CN"/>
        </w:rPr>
        <w:t>及联系方式</w:t>
      </w:r>
      <w:r>
        <w:rPr>
          <w:rFonts w:hint="eastAsia" w:ascii="仿宋" w:hAnsi="仿宋" w:eastAsia="仿宋" w:cs="仿宋"/>
          <w:spacing w:val="-2"/>
          <w:sz w:val="24"/>
          <w:szCs w:val="24"/>
        </w:rPr>
        <w:t>：杜律师</w:t>
      </w:r>
      <w:r>
        <w:rPr>
          <w:rFonts w:hint="eastAsia" w:ascii="仿宋" w:hAnsi="仿宋" w:eastAsia="仿宋" w:cs="仿宋"/>
          <w:spacing w:val="-2"/>
          <w:sz w:val="24"/>
          <w:szCs w:val="24"/>
          <w:lang w:eastAsia="zh-CN"/>
        </w:rPr>
        <w:t>，</w:t>
      </w:r>
      <w:r>
        <w:rPr>
          <w:rFonts w:hint="eastAsia" w:ascii="仿宋" w:hAnsi="仿宋" w:eastAsia="仿宋" w:cs="仿宋"/>
          <w:sz w:val="24"/>
          <w:szCs w:val="24"/>
        </w:rPr>
        <w:t>13058589583</w:t>
      </w:r>
      <w:r>
        <w:rPr>
          <w:rFonts w:hint="eastAsia" w:ascii="仿宋" w:hAnsi="仿宋" w:eastAsia="仿宋" w:cs="仿宋"/>
          <w:spacing w:val="-1"/>
          <w:sz w:val="24"/>
          <w:szCs w:val="24"/>
          <w:lang w:eastAsia="zh-CN"/>
        </w:rPr>
        <w:t>。</w:t>
      </w:r>
    </w:p>
    <w:p w14:paraId="680704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lang w:val="en-US" w:eastAsia="zh-CN"/>
        </w:rPr>
        <w:t>3.需提交的</w:t>
      </w:r>
      <w:r>
        <w:rPr>
          <w:rFonts w:hint="eastAsia" w:ascii="仿宋" w:hAnsi="仿宋" w:eastAsia="仿宋" w:cs="仿宋"/>
          <w:b/>
          <w:bCs/>
          <w:spacing w:val="-2"/>
          <w:sz w:val="24"/>
          <w:szCs w:val="24"/>
        </w:rPr>
        <w:t>报名材料</w:t>
      </w:r>
    </w:p>
    <w:p w14:paraId="1DC9C62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报名表》（见附件1）；</w:t>
      </w:r>
    </w:p>
    <w:p w14:paraId="6E09D84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的简介（须有法定代表人签字并加盖公章，内容包括投资人基本情况介绍、主营业务、股权结构、组织结构、投资意向、资金实力</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资金来源计划、经营计划等）；</w:t>
      </w:r>
    </w:p>
    <w:p w14:paraId="11C8819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主体资格文件：提供有效的企业法人或非法人组织营业执照复印件（加盖单位公章），法定代表人或负责人身份证明书（加盖单位公章）（见附件2）及其身份证复印件（加盖单位公章）；委托代理人提交的，除提供上述材料外，还须提交以下材料：授权委托书（法定代表人或负责人签字并加盖单位公章）（见附件3）和代理人的身份证/律师证、所函等有效证件；代理人为本单位员工的，应同时提交相关证明；</w:t>
      </w:r>
    </w:p>
    <w:p w14:paraId="5AFB7CC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为企业法人或其他非法人组织的，需提供已就参与</w:t>
      </w:r>
      <w:r>
        <w:rPr>
          <w:rFonts w:hint="eastAsia" w:ascii="仿宋" w:hAnsi="仿宋" w:eastAsia="仿宋" w:cs="仿宋"/>
          <w:spacing w:val="-1"/>
          <w:sz w:val="24"/>
          <w:szCs w:val="24"/>
          <w:lang w:eastAsia="zh-CN"/>
        </w:rPr>
        <w:t>华尔达公司意向重整投资人</w:t>
      </w:r>
      <w:r>
        <w:rPr>
          <w:rFonts w:hint="eastAsia" w:ascii="仿宋" w:hAnsi="仿宋" w:eastAsia="仿宋" w:cs="仿宋"/>
          <w:spacing w:val="-1"/>
          <w:sz w:val="24"/>
          <w:szCs w:val="24"/>
          <w:lang w:val="en-US" w:eastAsia="zh-CN"/>
        </w:rPr>
        <w:t>预</w:t>
      </w:r>
      <w:r>
        <w:rPr>
          <w:rFonts w:hint="eastAsia" w:ascii="仿宋" w:hAnsi="仿宋" w:eastAsia="仿宋" w:cs="仿宋"/>
          <w:spacing w:val="-1"/>
          <w:sz w:val="24"/>
          <w:szCs w:val="24"/>
        </w:rPr>
        <w:t>招募及对</w:t>
      </w:r>
      <w:r>
        <w:rPr>
          <w:rFonts w:hint="eastAsia" w:ascii="仿宋" w:hAnsi="仿宋" w:eastAsia="仿宋" w:cs="仿宋"/>
          <w:spacing w:val="-1"/>
          <w:sz w:val="24"/>
          <w:szCs w:val="24"/>
          <w:lang w:eastAsia="zh-CN"/>
        </w:rPr>
        <w:t>华尔达公司</w:t>
      </w:r>
      <w:r>
        <w:rPr>
          <w:rFonts w:hint="eastAsia" w:ascii="仿宋" w:hAnsi="仿宋" w:eastAsia="仿宋" w:cs="仿宋"/>
          <w:spacing w:val="-1"/>
          <w:sz w:val="24"/>
          <w:szCs w:val="24"/>
        </w:rPr>
        <w:t>进行重整投资事项履行内部审批程序的证明资料（如公司股东会决议、董事会决议或其他机构内部审批决议文件）</w:t>
      </w:r>
      <w:r>
        <w:rPr>
          <w:rFonts w:hint="eastAsia" w:ascii="仿宋" w:hAnsi="仿宋" w:eastAsia="仿宋" w:cs="仿宋"/>
          <w:spacing w:val="-1"/>
          <w:sz w:val="24"/>
          <w:szCs w:val="24"/>
          <w:lang w:eastAsia="zh-CN"/>
        </w:rPr>
        <w:t>；</w:t>
      </w:r>
    </w:p>
    <w:p w14:paraId="231B870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联合体成员间就组建联合体签署的相关协议或说明文件的复印件，同时需明确联合体牵头人，说明各主体的角色分工、权利义务等，联合</w:t>
      </w: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相互之间应承诺承担连带责任，由牵头人作为提交报名材料及支付保证金的主体；</w:t>
      </w:r>
    </w:p>
    <w:p w14:paraId="78ABFB5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承诺函》（见附件4），内容包括承诺所提交材料均真实准确，最近三年无违法犯罪行为，无重大违法行为或涉嫌有重大违法行为，未被人民法院列入失信被执行人名单，未被市场监督管理部门列入企业经营异常名单，无到期未清偿的数额较大的债务，且处于存续状态，具备与重整投资匹配的资金实力</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履约能力，并承诺接受和遵守本招募公告的其他要求；</w:t>
      </w:r>
    </w:p>
    <w:p w14:paraId="50C9F5D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《保密承诺函》（见附件5），</w:t>
      </w: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需承诺对参与本项目过程中管理人或</w:t>
      </w:r>
      <w:r>
        <w:rPr>
          <w:rFonts w:hint="eastAsia" w:ascii="仿宋" w:hAnsi="仿宋" w:eastAsia="仿宋" w:cs="仿宋"/>
          <w:spacing w:val="-1"/>
          <w:sz w:val="24"/>
          <w:szCs w:val="24"/>
          <w:lang w:eastAsia="zh-CN"/>
        </w:rPr>
        <w:t>华尔达公司</w:t>
      </w:r>
      <w:r>
        <w:rPr>
          <w:rFonts w:hint="eastAsia" w:ascii="仿宋" w:hAnsi="仿宋" w:eastAsia="仿宋" w:cs="仿宋"/>
          <w:spacing w:val="-1"/>
          <w:sz w:val="24"/>
          <w:szCs w:val="24"/>
        </w:rPr>
        <w:t>提供的保密信息予以严格保密；</w:t>
      </w:r>
    </w:p>
    <w:p w14:paraId="6228174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《送达地址及收款账户确认书》（见附件6），为便于</w:t>
      </w: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及时收到管理人各项文书</w:t>
      </w:r>
      <w:r>
        <w:rPr>
          <w:rFonts w:hint="eastAsia" w:ascii="仿宋" w:hAnsi="仿宋" w:eastAsia="仿宋" w:cs="仿宋"/>
          <w:spacing w:val="-1"/>
          <w:sz w:val="24"/>
          <w:szCs w:val="24"/>
          <w:lang w:val="en-US" w:eastAsia="zh-CN"/>
        </w:rPr>
        <w:t>以及后续接收退回的保证金，为</w:t>
      </w:r>
      <w:r>
        <w:rPr>
          <w:rFonts w:hint="eastAsia" w:ascii="仿宋" w:hAnsi="仿宋" w:eastAsia="仿宋" w:cs="仿宋"/>
          <w:spacing w:val="-1"/>
          <w:sz w:val="24"/>
          <w:szCs w:val="24"/>
        </w:rPr>
        <w:t>保证重整投资招募程序顺利进行，</w:t>
      </w: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应当如实提供确切的送达地址</w:t>
      </w:r>
      <w:r>
        <w:rPr>
          <w:rFonts w:hint="eastAsia" w:ascii="仿宋" w:hAnsi="仿宋" w:eastAsia="仿宋" w:cs="仿宋"/>
          <w:spacing w:val="-1"/>
          <w:sz w:val="24"/>
          <w:szCs w:val="24"/>
          <w:lang w:val="en-US" w:eastAsia="zh-CN"/>
        </w:rPr>
        <w:t>及收款账户信息</w:t>
      </w:r>
      <w:r>
        <w:rPr>
          <w:rFonts w:hint="eastAsia" w:ascii="仿宋" w:hAnsi="仿宋" w:eastAsia="仿宋" w:cs="仿宋"/>
          <w:spacing w:val="-1"/>
          <w:sz w:val="24"/>
          <w:szCs w:val="24"/>
          <w:lang w:eastAsia="zh-CN"/>
        </w:rPr>
        <w:t>；</w:t>
      </w:r>
    </w:p>
    <w:p w14:paraId="72A7E58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已缴纳报名保证金的转账凭证等证明文件；</w:t>
      </w:r>
    </w:p>
    <w:p w14:paraId="06A9884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与重整投资规模相匹配的相关资金实力证明（如</w:t>
      </w: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银行资信证明、征信报告、主要资产权属证明及其他履约能力证明、2023年至2025年经审计的财务报告或最新一期的企业财务报表等）；</w:t>
      </w:r>
    </w:p>
    <w:p w14:paraId="3115C11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近三年内参与庭内外重组、重整等的相关案例资料</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包括但不限于资格确认文件、投资协议、重整计划、并购协议等（无案例则无需提供</w:t>
      </w:r>
      <w:r>
        <w:rPr>
          <w:rFonts w:hint="eastAsia" w:ascii="仿宋" w:hAnsi="仿宋" w:eastAsia="仿宋" w:cs="仿宋"/>
          <w:spacing w:val="-1"/>
          <w:sz w:val="24"/>
          <w:szCs w:val="24"/>
          <w:lang w:eastAsia="zh-CN"/>
        </w:rPr>
        <w:t>）；</w:t>
      </w:r>
    </w:p>
    <w:p w14:paraId="076497D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《资金来源合法合规承诺函》（</w:t>
      </w:r>
      <w:r>
        <w:rPr>
          <w:rFonts w:hint="eastAsia" w:ascii="仿宋" w:hAnsi="仿宋" w:eastAsia="仿宋" w:cs="仿宋"/>
          <w:spacing w:val="-1"/>
          <w:sz w:val="24"/>
          <w:szCs w:val="24"/>
          <w:lang w:val="en-US" w:eastAsia="zh-CN"/>
        </w:rPr>
        <w:t>见附件7</w:t>
      </w:r>
      <w:r>
        <w:rPr>
          <w:rFonts w:hint="eastAsia" w:ascii="仿宋" w:hAnsi="仿宋" w:eastAsia="仿宋" w:cs="仿宋"/>
          <w:spacing w:val="-1"/>
          <w:sz w:val="24"/>
          <w:szCs w:val="24"/>
          <w:lang w:eastAsia="zh-CN"/>
        </w:rPr>
        <w:t>）；</w:t>
      </w:r>
    </w:p>
    <w:p w14:paraId="5C31278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rightChars="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其他</w:t>
      </w: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或管理人认为需要提供的材料。</w:t>
      </w:r>
    </w:p>
    <w:p w14:paraId="354F97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特别说明：报名材料应加盖</w:t>
      </w:r>
      <w:r>
        <w:rPr>
          <w:rFonts w:hint="eastAsia" w:ascii="仿宋" w:hAnsi="仿宋" w:eastAsia="仿宋" w:cs="仿宋"/>
          <w:spacing w:val="-1"/>
          <w:sz w:val="24"/>
          <w:szCs w:val="24"/>
          <w:lang w:eastAsia="zh-CN"/>
        </w:rPr>
        <w:t>意向重整投资人</w:t>
      </w:r>
      <w:r>
        <w:rPr>
          <w:rFonts w:hint="eastAsia" w:ascii="仿宋" w:hAnsi="仿宋" w:eastAsia="仿宋" w:cs="仿宋"/>
          <w:spacing w:val="-1"/>
          <w:sz w:val="24"/>
          <w:szCs w:val="24"/>
        </w:rPr>
        <w:t>印章并由其法定代表人或负责人签名，报名方系自然</w:t>
      </w:r>
      <w:r>
        <w:rPr>
          <w:rFonts w:hint="eastAsia" w:ascii="仿宋" w:hAnsi="仿宋" w:eastAsia="仿宋" w:cs="仿宋"/>
          <w:sz w:val="24"/>
          <w:szCs w:val="24"/>
        </w:rPr>
        <w:t>人的需自然人签名按手印。</w:t>
      </w:r>
      <w:r>
        <w:rPr>
          <w:rFonts w:hint="eastAsia" w:ascii="仿宋" w:hAnsi="仿宋" w:eastAsia="仿宋" w:cs="仿宋"/>
          <w:sz w:val="24"/>
          <w:szCs w:val="24"/>
          <w:lang w:eastAsia="zh-CN"/>
        </w:rPr>
        <w:t>意向重整投资人</w:t>
      </w:r>
      <w:r>
        <w:rPr>
          <w:rFonts w:hint="eastAsia" w:ascii="仿宋" w:hAnsi="仿宋" w:eastAsia="仿宋" w:cs="仿宋"/>
          <w:sz w:val="24"/>
          <w:szCs w:val="24"/>
        </w:rPr>
        <w:t>未按本公</w:t>
      </w:r>
      <w:r>
        <w:rPr>
          <w:rFonts w:hint="eastAsia" w:ascii="仿宋" w:hAnsi="仿宋" w:eastAsia="仿宋" w:cs="仿宋"/>
          <w:spacing w:val="-1"/>
          <w:sz w:val="24"/>
          <w:szCs w:val="24"/>
        </w:rPr>
        <w:t>告要求提交完整报名材料的，管理人有权不予接</w:t>
      </w:r>
      <w:r>
        <w:rPr>
          <w:rFonts w:hint="eastAsia" w:ascii="仿宋" w:hAnsi="仿宋" w:eastAsia="仿宋" w:cs="仿宋"/>
          <w:spacing w:val="-16"/>
          <w:sz w:val="24"/>
          <w:szCs w:val="24"/>
        </w:rPr>
        <w:t>收。</w:t>
      </w:r>
    </w:p>
    <w:p w14:paraId="0471E5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仿宋" w:hAnsi="仿宋" w:eastAsia="仿宋" w:cs="仿宋"/>
          <w:spacing w:val="-6"/>
          <w:sz w:val="24"/>
          <w:szCs w:val="24"/>
        </w:rPr>
      </w:pPr>
      <w:r>
        <w:rPr>
          <w:rFonts w:hint="eastAsia" w:ascii="仿宋" w:hAnsi="仿宋" w:eastAsia="仿宋" w:cs="仿宋"/>
          <w:spacing w:val="-1"/>
          <w:sz w:val="24"/>
          <w:szCs w:val="24"/>
        </w:rPr>
        <w:t>管理人有权根据实际需要要求报名主体对报名材料有关内容进行解释或者说明，并有权要求补</w:t>
      </w:r>
      <w:r>
        <w:rPr>
          <w:rFonts w:hint="eastAsia" w:ascii="仿宋" w:hAnsi="仿宋" w:eastAsia="仿宋" w:cs="仿宋"/>
          <w:spacing w:val="-6"/>
          <w:sz w:val="24"/>
          <w:szCs w:val="24"/>
        </w:rPr>
        <w:t>充其他相关资料。</w:t>
      </w:r>
    </w:p>
    <w:p w14:paraId="5FE5FD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rPr>
          <w:rFonts w:hint="eastAsia" w:ascii="仿宋" w:hAnsi="仿宋" w:eastAsia="仿宋" w:cs="仿宋"/>
          <w:b/>
          <w:bCs/>
          <w:color w:val="auto"/>
          <w:spacing w:val="-6"/>
          <w:sz w:val="24"/>
          <w:szCs w:val="24"/>
          <w:lang w:val="en-US" w:eastAsia="zh-CN"/>
        </w:rPr>
      </w:pPr>
      <w:r>
        <w:rPr>
          <w:rFonts w:hint="eastAsia" w:ascii="仿宋" w:hAnsi="仿宋" w:eastAsia="仿宋" w:cs="仿宋"/>
          <w:b/>
          <w:bCs/>
          <w:color w:val="auto"/>
          <w:spacing w:val="-6"/>
          <w:sz w:val="24"/>
          <w:szCs w:val="24"/>
          <w:lang w:val="en-US" w:eastAsia="zh-CN"/>
        </w:rPr>
        <w:t>4.发布公告的媒介</w:t>
      </w:r>
    </w:p>
    <w:p w14:paraId="140AF3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textAlignment w:val="baseline"/>
        <w:rPr>
          <w:rFonts w:hint="eastAsia" w:ascii="仿宋" w:hAnsi="仿宋" w:eastAsia="仿宋" w:cs="仿宋"/>
          <w:b w:val="0"/>
          <w:bCs w:val="0"/>
          <w:color w:val="auto"/>
          <w:spacing w:val="-6"/>
          <w:sz w:val="24"/>
          <w:szCs w:val="24"/>
          <w:lang w:val="en-US" w:eastAsia="zh-CN"/>
        </w:rPr>
      </w:pPr>
      <w:r>
        <w:rPr>
          <w:rFonts w:hint="eastAsia" w:ascii="仿宋" w:hAnsi="仿宋" w:eastAsia="仿宋" w:cs="仿宋"/>
          <w:b w:val="0"/>
          <w:bCs w:val="0"/>
          <w:color w:val="auto"/>
          <w:spacing w:val="-6"/>
          <w:sz w:val="24"/>
          <w:szCs w:val="24"/>
          <w:lang w:val="en-US" w:eastAsia="zh-CN"/>
        </w:rPr>
        <w:t>本次重整投资人招募公告同时在以下平台发布：</w:t>
      </w:r>
    </w:p>
    <w:p w14:paraId="380841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56" w:firstLineChars="200"/>
        <w:textAlignment w:val="baseline"/>
        <w:rPr>
          <w:rFonts w:hint="eastAsia" w:ascii="仿宋" w:hAnsi="仿宋" w:eastAsia="仿宋" w:cs="仿宋"/>
          <w:color w:val="auto"/>
          <w:spacing w:val="-6"/>
          <w:sz w:val="24"/>
          <w:szCs w:val="24"/>
          <w:lang w:val="en-US" w:eastAsia="zh-CN"/>
        </w:rPr>
      </w:pPr>
      <w:r>
        <w:rPr>
          <w:rFonts w:hint="eastAsia" w:ascii="仿宋" w:hAnsi="仿宋" w:eastAsia="仿宋" w:cs="仿宋"/>
          <w:spacing w:val="-6"/>
          <w:sz w:val="24"/>
          <w:szCs w:val="24"/>
          <w:lang w:val="en-US" w:eastAsia="zh-CN"/>
        </w:rPr>
        <w:t>（1）全国企业破产重整案件信息网（网址</w:t>
      </w:r>
      <w:r>
        <w:rPr>
          <w:rFonts w:hint="eastAsia" w:ascii="仿宋" w:hAnsi="仿宋" w:eastAsia="仿宋" w:cs="仿宋"/>
          <w:color w:val="auto"/>
          <w:spacing w:val="-6"/>
          <w:sz w:val="24"/>
          <w:szCs w:val="24"/>
          <w:lang w:val="en-US" w:eastAsia="zh-CN"/>
        </w:rPr>
        <w:t>：http://pccz.court.gov.cn）；</w:t>
      </w:r>
    </w:p>
    <w:p w14:paraId="30492B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56" w:firstLineChars="200"/>
        <w:textAlignment w:val="baseline"/>
        <w:rPr>
          <w:rFonts w:hint="eastAsia" w:ascii="仿宋" w:hAnsi="仿宋" w:eastAsia="仿宋" w:cs="仿宋"/>
          <w:color w:val="auto"/>
          <w:spacing w:val="-6"/>
          <w:sz w:val="24"/>
          <w:szCs w:val="24"/>
          <w:lang w:val="en-US" w:eastAsia="zh-CN"/>
        </w:rPr>
      </w:pPr>
      <w:r>
        <w:rPr>
          <w:rFonts w:hint="eastAsia" w:ascii="仿宋" w:hAnsi="仿宋" w:eastAsia="仿宋" w:cs="仿宋"/>
          <w:color w:val="auto"/>
          <w:spacing w:val="-6"/>
          <w:sz w:val="24"/>
          <w:szCs w:val="24"/>
          <w:lang w:val="en-US" w:eastAsia="zh-CN"/>
        </w:rPr>
        <w:t>（2）东莞市破产管理人协会公众号（微信号：DG_ABA）；</w:t>
      </w:r>
    </w:p>
    <w:p w14:paraId="7B0FB2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56" w:firstLineChars="200"/>
        <w:textAlignment w:val="baseline"/>
        <w:rPr>
          <w:rFonts w:hint="eastAsia" w:ascii="仿宋" w:hAnsi="仿宋" w:eastAsia="仿宋" w:cs="仿宋"/>
          <w:color w:val="auto"/>
          <w:spacing w:val="-6"/>
          <w:sz w:val="24"/>
          <w:szCs w:val="24"/>
          <w:lang w:val="en-US" w:eastAsia="zh-CN"/>
        </w:rPr>
      </w:pPr>
      <w:r>
        <w:rPr>
          <w:rFonts w:hint="eastAsia" w:ascii="仿宋" w:hAnsi="仿宋" w:eastAsia="仿宋" w:cs="仿宋"/>
          <w:color w:val="auto"/>
          <w:spacing w:val="-6"/>
          <w:sz w:val="24"/>
          <w:szCs w:val="24"/>
          <w:lang w:val="en-US" w:eastAsia="zh-CN"/>
        </w:rPr>
        <w:t>（3）广东法仕律师事务所官方微信公众号（微信公众号名称：“广东法仕律师事务所”）。</w:t>
      </w:r>
    </w:p>
    <w:p w14:paraId="358CD5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58" w:firstLineChars="200"/>
        <w:textAlignment w:val="baseline"/>
        <w:rPr>
          <w:rFonts w:hint="eastAsia" w:ascii="仿宋" w:hAnsi="仿宋" w:eastAsia="仿宋" w:cs="仿宋"/>
          <w:b/>
          <w:bCs/>
          <w:color w:val="auto"/>
          <w:spacing w:val="-6"/>
          <w:sz w:val="24"/>
          <w:szCs w:val="24"/>
          <w:lang w:val="en-US" w:eastAsia="zh-CN"/>
        </w:rPr>
      </w:pPr>
      <w:r>
        <w:rPr>
          <w:rFonts w:hint="eastAsia" w:ascii="仿宋" w:hAnsi="仿宋" w:eastAsia="仿宋" w:cs="仿宋"/>
          <w:b/>
          <w:bCs/>
          <w:color w:val="auto"/>
          <w:spacing w:val="-6"/>
          <w:sz w:val="24"/>
          <w:szCs w:val="24"/>
          <w:lang w:val="en-US" w:eastAsia="zh-CN"/>
        </w:rPr>
        <w:t>5.本次招募相关文件可通过以下途径获取：</w:t>
      </w:r>
    </w:p>
    <w:p w14:paraId="3C074C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56" w:firstLineChars="200"/>
        <w:textAlignment w:val="baseline"/>
        <w:rPr>
          <w:rFonts w:hint="eastAsia" w:ascii="仿宋" w:hAnsi="仿宋" w:eastAsia="仿宋" w:cs="仿宋"/>
          <w:color w:val="auto"/>
          <w:spacing w:val="-6"/>
          <w:sz w:val="24"/>
          <w:szCs w:val="24"/>
          <w:lang w:val="en-US" w:eastAsia="zh-CN"/>
        </w:rPr>
      </w:pPr>
      <w:r>
        <w:rPr>
          <w:rFonts w:hint="eastAsia" w:ascii="仿宋" w:hAnsi="仿宋" w:eastAsia="仿宋" w:cs="仿宋"/>
          <w:color w:val="auto"/>
          <w:spacing w:val="-6"/>
          <w:sz w:val="24"/>
          <w:szCs w:val="24"/>
          <w:lang w:val="en-US" w:eastAsia="zh-CN"/>
        </w:rPr>
        <w:t>（1）进入“全国企业破产重整案件信息网”首页，搜索“东莞市华尔达企业管理咨询有限公司”，找到意向重整投资人招募公告，下载附件；</w:t>
      </w:r>
    </w:p>
    <w:p w14:paraId="0BA045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56" w:firstLineChars="200"/>
        <w:textAlignment w:val="baseline"/>
        <w:rPr>
          <w:rFonts w:hint="eastAsia" w:ascii="仿宋" w:hAnsi="仿宋" w:eastAsia="仿宋" w:cs="仿宋"/>
          <w:spacing w:val="-6"/>
          <w:sz w:val="24"/>
          <w:szCs w:val="24"/>
          <w:lang w:val="en-US" w:eastAsia="zh-CN"/>
        </w:rPr>
      </w:pPr>
      <w:r>
        <w:rPr>
          <w:rFonts w:hint="eastAsia" w:ascii="仿宋" w:hAnsi="仿宋" w:eastAsia="仿宋" w:cs="仿宋"/>
          <w:color w:val="auto"/>
          <w:spacing w:val="-6"/>
          <w:sz w:val="24"/>
          <w:szCs w:val="24"/>
          <w:lang w:val="en-US" w:eastAsia="zh-CN"/>
        </w:rPr>
        <w:t>（2）微信搜索关注“广东法仕律师事务所”公众号（微信号：fashilawyer），</w:t>
      </w:r>
      <w:r>
        <w:rPr>
          <w:rFonts w:hint="eastAsia" w:ascii="仿宋" w:hAnsi="仿宋" w:eastAsia="仿宋" w:cs="仿宋"/>
          <w:spacing w:val="-6"/>
          <w:sz w:val="24"/>
          <w:szCs w:val="24"/>
          <w:lang w:val="en-US" w:eastAsia="zh-CN"/>
        </w:rPr>
        <w:t>在后台回复“华尔达意向重整投资人预招募”，即可获取。</w:t>
      </w:r>
    </w:p>
    <w:p w14:paraId="68FE6E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lang w:val="en-US" w:eastAsia="zh-CN"/>
        </w:rPr>
        <w:t>6.缴纳报名</w:t>
      </w:r>
      <w:r>
        <w:rPr>
          <w:rFonts w:hint="eastAsia" w:ascii="仿宋" w:hAnsi="仿宋" w:eastAsia="仿宋" w:cs="仿宋"/>
          <w:b/>
          <w:bCs/>
          <w:spacing w:val="-2"/>
          <w:sz w:val="24"/>
          <w:szCs w:val="24"/>
        </w:rPr>
        <w:t>保证金</w:t>
      </w:r>
    </w:p>
    <w:p w14:paraId="08F612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u w:val="single" w:color="auto"/>
          <w:lang w:eastAsia="zh-CN"/>
        </w:rPr>
        <w:t>意向重整投资人</w:t>
      </w:r>
      <w:r>
        <w:rPr>
          <w:rFonts w:hint="eastAsia" w:ascii="仿宋" w:hAnsi="仿宋" w:eastAsia="仿宋" w:cs="仿宋"/>
          <w:sz w:val="24"/>
          <w:szCs w:val="24"/>
          <w:u w:val="single" w:color="auto"/>
        </w:rPr>
        <w:t>决定报名的，除提交上述资料外，还须在报</w:t>
      </w:r>
      <w:r>
        <w:rPr>
          <w:rFonts w:hint="eastAsia" w:ascii="仿宋" w:hAnsi="仿宋" w:eastAsia="仿宋" w:cs="仿宋"/>
          <w:spacing w:val="-1"/>
          <w:sz w:val="24"/>
          <w:szCs w:val="24"/>
          <w:u w:val="single" w:color="auto"/>
        </w:rPr>
        <w:t>名期限内足额交纳人民币</w:t>
      </w:r>
      <w:r>
        <w:rPr>
          <w:rFonts w:hint="eastAsia" w:ascii="仿宋" w:hAnsi="仿宋" w:eastAsia="仿宋" w:cs="仿宋"/>
          <w:color w:val="0000FF"/>
          <w:spacing w:val="-1"/>
          <w:sz w:val="24"/>
          <w:szCs w:val="24"/>
          <w:u w:val="single" w:color="auto"/>
          <w:lang w:val="en-US" w:eastAsia="zh-CN"/>
        </w:rPr>
        <w:t>200万</w:t>
      </w:r>
      <w:r>
        <w:rPr>
          <w:rFonts w:hint="eastAsia" w:ascii="仿宋" w:hAnsi="仿宋" w:eastAsia="仿宋" w:cs="仿宋"/>
          <w:color w:val="0000FF"/>
          <w:spacing w:val="-1"/>
          <w:sz w:val="24"/>
          <w:szCs w:val="24"/>
          <w:u w:val="single" w:color="auto"/>
        </w:rPr>
        <w:t>元</w:t>
      </w:r>
      <w:r>
        <w:rPr>
          <w:rFonts w:hint="eastAsia" w:ascii="仿宋" w:hAnsi="仿宋" w:eastAsia="仿宋" w:cs="仿宋"/>
          <w:color w:val="0000FF"/>
          <w:spacing w:val="-1"/>
          <w:sz w:val="24"/>
          <w:szCs w:val="24"/>
          <w:u w:val="single" w:color="auto"/>
          <w:lang w:eastAsia="zh-CN"/>
        </w:rPr>
        <w:t>（</w:t>
      </w:r>
      <w:r>
        <w:rPr>
          <w:rFonts w:hint="eastAsia" w:ascii="仿宋" w:hAnsi="仿宋" w:eastAsia="仿宋" w:cs="仿宋"/>
          <w:color w:val="0000FF"/>
          <w:spacing w:val="-1"/>
          <w:sz w:val="24"/>
          <w:szCs w:val="24"/>
          <w:u w:val="single" w:color="auto"/>
          <w:lang w:val="en-US" w:eastAsia="zh-CN"/>
        </w:rPr>
        <w:t>贰佰万元整</w:t>
      </w:r>
      <w:r>
        <w:rPr>
          <w:rFonts w:hint="eastAsia" w:ascii="仿宋" w:hAnsi="仿宋" w:eastAsia="仿宋" w:cs="仿宋"/>
          <w:color w:val="0000FF"/>
          <w:spacing w:val="-1"/>
          <w:sz w:val="24"/>
          <w:szCs w:val="24"/>
          <w:u w:val="single" w:color="auto"/>
          <w:lang w:eastAsia="zh-CN"/>
        </w:rPr>
        <w:t>）</w:t>
      </w:r>
      <w:r>
        <w:rPr>
          <w:rFonts w:hint="eastAsia" w:ascii="仿宋" w:hAnsi="仿宋" w:eastAsia="仿宋" w:cs="仿宋"/>
          <w:spacing w:val="-1"/>
          <w:sz w:val="24"/>
          <w:szCs w:val="24"/>
          <w:u w:val="single" w:color="auto"/>
        </w:rPr>
        <w:t>的尽调保证金</w:t>
      </w:r>
      <w:r>
        <w:rPr>
          <w:rFonts w:hint="eastAsia" w:ascii="仿宋" w:hAnsi="仿宋" w:eastAsia="仿宋" w:cs="仿宋"/>
          <w:spacing w:val="-1"/>
          <w:sz w:val="24"/>
          <w:szCs w:val="24"/>
          <w:u w:val="single" w:color="auto"/>
          <w:lang w:val="en-US" w:eastAsia="zh-CN"/>
        </w:rPr>
        <w:t>并签署保密承诺函</w:t>
      </w:r>
      <w:r>
        <w:rPr>
          <w:rFonts w:hint="eastAsia" w:ascii="仿宋" w:hAnsi="仿宋" w:eastAsia="仿宋" w:cs="仿宋"/>
          <w:spacing w:val="-1"/>
          <w:sz w:val="24"/>
          <w:szCs w:val="24"/>
          <w:u w:val="single" w:color="auto"/>
          <w:lang w:eastAsia="zh-CN"/>
        </w:rPr>
        <w:t>，将</w:t>
      </w:r>
      <w:r>
        <w:rPr>
          <w:rFonts w:hint="eastAsia" w:ascii="仿宋" w:hAnsi="仿宋" w:eastAsia="仿宋" w:cs="仿宋"/>
          <w:spacing w:val="-1"/>
          <w:sz w:val="24"/>
          <w:szCs w:val="24"/>
          <w:u w:val="single" w:color="auto"/>
        </w:rPr>
        <w:t>款项汇入管理人账户</w:t>
      </w:r>
      <w:r>
        <w:rPr>
          <w:rFonts w:hint="eastAsia" w:ascii="仿宋" w:hAnsi="仿宋" w:eastAsia="仿宋" w:cs="仿宋"/>
          <w:spacing w:val="-1"/>
          <w:sz w:val="24"/>
          <w:szCs w:val="24"/>
          <w:u w:val="single" w:color="auto"/>
          <w:lang w:eastAsia="zh-CN"/>
        </w:rPr>
        <w:t>，</w:t>
      </w:r>
      <w:r>
        <w:rPr>
          <w:rFonts w:hint="eastAsia" w:ascii="仿宋" w:hAnsi="仿宋" w:eastAsia="仿宋" w:cs="仿宋"/>
          <w:spacing w:val="-2"/>
          <w:sz w:val="24"/>
          <w:szCs w:val="24"/>
          <w:lang w:val="en-US" w:eastAsia="zh-CN"/>
        </w:rPr>
        <w:t>转账时备注“华尔达公司意向重整投资人报名保证金”</w:t>
      </w:r>
      <w:r>
        <w:rPr>
          <w:rFonts w:hint="eastAsia" w:ascii="仿宋" w:hAnsi="仿宋" w:eastAsia="仿宋" w:cs="仿宋"/>
          <w:spacing w:val="-5"/>
          <w:sz w:val="24"/>
          <w:szCs w:val="24"/>
          <w:lang w:eastAsia="zh-CN"/>
        </w:rPr>
        <w:t>：</w:t>
      </w:r>
    </w:p>
    <w:p w14:paraId="309B87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户名：东莞市华尔达企业管理咨询有限公司管理人</w:t>
      </w:r>
    </w:p>
    <w:p w14:paraId="64EA26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开户行：东莞银行股份有限公司中心区艺展支行</w:t>
      </w:r>
    </w:p>
    <w:p w14:paraId="4B2110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账号：558000015700568</w:t>
      </w:r>
    </w:p>
    <w:p w14:paraId="1BA445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意向重整投资人缴纳报名保证金时，</w:t>
      </w:r>
      <w:r>
        <w:rPr>
          <w:rFonts w:hint="eastAsia" w:ascii="仿宋" w:hAnsi="仿宋" w:eastAsia="仿宋" w:cs="仿宋"/>
          <w:spacing w:val="-6"/>
          <w:sz w:val="24"/>
          <w:szCs w:val="24"/>
          <w:u w:val="single"/>
          <w:lang w:val="en-US" w:eastAsia="zh-CN"/>
        </w:rPr>
        <w:t>需确保缴纳报名保证金的付款方与意向重整投资人递交的报名材料内的报名主体为同一单位，如有不一致的，视为意向重整投资人自动放弃报名。</w:t>
      </w:r>
      <w:r>
        <w:rPr>
          <w:rFonts w:hint="eastAsia" w:ascii="仿宋" w:hAnsi="仿宋" w:eastAsia="仿宋" w:cs="仿宋"/>
          <w:spacing w:val="-8"/>
          <w:sz w:val="24"/>
          <w:szCs w:val="24"/>
          <w:lang w:val="en-US" w:eastAsia="zh-CN"/>
        </w:rPr>
        <w:t>未按规定缴纳报名保证金的，视为退出意向重整投资人招募程序。</w:t>
      </w:r>
    </w:p>
    <w:p w14:paraId="3D2977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7.对于上述报名材料，意向重整投资人应逐项加盖意向重整投资人在公安部门备案的公章和骑缝章。如意向重整投资人为联合体的，由牵头人负责提交上述报名材料并缴纳保证金。</w:t>
      </w:r>
    </w:p>
    <w:p w14:paraId="7926E9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管理人将对意向重整投资人提交的资料进行形式审查，如意向重整投资人提交的报名材料存在缺失、遗漏等不符合公告要求的，意向重整投资人须在收到管理人补正通知之日起三日内补正材料。未按要求如期补正的，视为报名不成功，不具有参与遴选重整投资人的资格。在报名期限内提交符合条件的报名材料，并按公告要求缴纳报名保证金，即报名成功。</w:t>
      </w:r>
    </w:p>
    <w:p w14:paraId="3FCC0D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hint="default"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（二）尽职调查</w:t>
      </w:r>
    </w:p>
    <w:p w14:paraId="05FE0F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本招募公告不能替代意向重整投资人的尽职调查，公告所载华尔达公司相关信息，主要目的系为便利意向重整投资人初步了解华尔达公司基本情况，管理人不对公告披露的涉及尽职调查内容的真实性和完整性承担责任，由意向重整投资人自行尽职调查并自行承担相应的投资风险。</w:t>
      </w:r>
    </w:p>
    <w:p w14:paraId="0296E3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意向重整投资人应签署《保密承诺函》（见附件5）并遵守保密义务，不得以竞选意向重整投资人为由获取华尔达公司资料，将管理人提供的所有信息、数据、资料等另作他用，更不得泄露给任何第三方；如违反保密义务的，管理人有权没收保证金，取消其参与重整投资的资格，并要求其承担法律责任。</w:t>
      </w:r>
    </w:p>
    <w:p w14:paraId="1EDBF2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3.尽职调查的期限自报名成功之日起至</w:t>
      </w:r>
      <w:r>
        <w:rPr>
          <w:rFonts w:hint="eastAsia" w:ascii="仿宋" w:hAnsi="仿宋" w:eastAsia="仿宋" w:cs="仿宋"/>
          <w:color w:val="0000FF"/>
          <w:spacing w:val="-8"/>
          <w:sz w:val="24"/>
          <w:szCs w:val="24"/>
          <w:lang w:val="en-US" w:eastAsia="zh-CN"/>
        </w:rPr>
        <w:t>2026年7月27日18时止</w:t>
      </w:r>
      <w:r>
        <w:rPr>
          <w:rFonts w:hint="eastAsia" w:ascii="仿宋" w:hAnsi="仿宋" w:eastAsia="仿宋" w:cs="仿宋"/>
          <w:spacing w:val="-8"/>
          <w:sz w:val="24"/>
          <w:szCs w:val="24"/>
          <w:lang w:val="en-US" w:eastAsia="zh-CN"/>
        </w:rPr>
        <w:t>，管理人可以视各意向重整投资人的实际情况决定延长尽职调查期限。成功报名的意向重整投资人可以自行或委托中介机构对华尔达公司开展尽职调查工作。意向重整投资人开展尽职调查所需的费用由其自行承担，并对尽职调查结果自行承担法律责任。</w:t>
      </w:r>
    </w:p>
    <w:p w14:paraId="52B0D9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hint="eastAsia"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（三）提交重整意向投资方案并追加缴纳重整保证金</w:t>
      </w:r>
    </w:p>
    <w:p w14:paraId="7A3BA4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意向重整投资人尽职调查后应于</w:t>
      </w:r>
      <w:r>
        <w:rPr>
          <w:rFonts w:hint="eastAsia" w:ascii="仿宋" w:hAnsi="仿宋" w:eastAsia="仿宋" w:cs="仿宋"/>
          <w:color w:val="0000FF"/>
          <w:spacing w:val="-8"/>
          <w:sz w:val="24"/>
          <w:szCs w:val="24"/>
          <w:lang w:val="en-US" w:eastAsia="zh-CN"/>
        </w:rPr>
        <w:t>2026年8月26日18时前</w:t>
      </w:r>
      <w:r>
        <w:rPr>
          <w:rFonts w:hint="eastAsia" w:ascii="仿宋" w:hAnsi="仿宋" w:eastAsia="仿宋" w:cs="仿宋"/>
          <w:spacing w:val="-8"/>
          <w:sz w:val="24"/>
          <w:szCs w:val="24"/>
          <w:lang w:val="en-US" w:eastAsia="zh-CN"/>
        </w:rPr>
        <w:t>（以投邮时间为准）以密封形式向管理人提交《重整意向投资方案》并</w:t>
      </w:r>
      <w:r>
        <w:rPr>
          <w:rFonts w:hint="eastAsia" w:ascii="仿宋" w:hAnsi="仿宋" w:eastAsia="仿宋" w:cs="仿宋"/>
          <w:color w:val="0000FF"/>
          <w:spacing w:val="-8"/>
          <w:sz w:val="24"/>
          <w:szCs w:val="24"/>
          <w:lang w:val="en-US" w:eastAsia="zh-CN"/>
        </w:rPr>
        <w:t>追加缴纳重整保证金人民币【3000】万元（叁仟万元整）（与已缴纳的报名保证金合计3200万元）</w:t>
      </w:r>
      <w:r>
        <w:rPr>
          <w:rFonts w:hint="eastAsia" w:ascii="仿宋" w:hAnsi="仿宋" w:eastAsia="仿宋" w:cs="仿宋"/>
          <w:spacing w:val="-8"/>
          <w:sz w:val="24"/>
          <w:szCs w:val="24"/>
          <w:lang w:val="en-US" w:eastAsia="zh-CN"/>
        </w:rPr>
        <w:t>至管理人账户（转账时备注“华尔达公司意向重整投资人追加缴纳保证金”）。根据各意向重整投资人实际工作开展的情况，管理人可以适时调整《重整意向投资方案》提交期限。</w:t>
      </w:r>
    </w:p>
    <w:p w14:paraId="6A39B8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《重整意向投资方案》至少应包含以下内容：</w:t>
      </w:r>
    </w:p>
    <w:p w14:paraId="0930B5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1.重整投资人的基本情况（主体资格、股权结构、历史沿革、经营范围等；如为联合投资人，需说明牵头方及各主体的角色分工、权利义务等，联合投资人相互之间应当承担连带责任）；</w:t>
      </w:r>
    </w:p>
    <w:p w14:paraId="549B58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2.重整投资款来源；</w:t>
      </w:r>
    </w:p>
    <w:p w14:paraId="3D74FA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3.重整投资款的总额及支付方式、支付期限；</w:t>
      </w:r>
    </w:p>
    <w:p w14:paraId="081E28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4.华尔达公司重整后的经营方案；</w:t>
      </w:r>
    </w:p>
    <w:p w14:paraId="40C0D2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5.债权分类及债权调整方案；</w:t>
      </w:r>
    </w:p>
    <w:p w14:paraId="6708E4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6.债权受偿方案（破产费用、共益债务及各种不同性质债权的偿付方式、偿付比例和清偿周期）；</w:t>
      </w:r>
    </w:p>
    <w:p w14:paraId="18B793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7.出资人权益调整方案；</w:t>
      </w:r>
    </w:p>
    <w:p w14:paraId="666EDE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8.是否愿意成为备选投资人；</w:t>
      </w:r>
    </w:p>
    <w:p w14:paraId="3B99AF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48" w:firstLineChars="200"/>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9.其他与重整投资相关的安排。</w:t>
      </w:r>
    </w:p>
    <w:p w14:paraId="2E57EB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56" w:firstLineChars="200"/>
        <w:textAlignment w:val="baseline"/>
        <w:outlineLvl w:val="1"/>
        <w:rPr>
          <w:rFonts w:hint="eastAsia" w:ascii="仿宋" w:hAnsi="仿宋" w:eastAsia="仿宋" w:cs="仿宋"/>
          <w:bCs w:val="0"/>
          <w:spacing w:val="-6"/>
          <w:sz w:val="24"/>
          <w:szCs w:val="24"/>
          <w:lang w:val="en-US" w:eastAsia="zh-CN"/>
        </w:rPr>
      </w:pPr>
      <w:r>
        <w:rPr>
          <w:rFonts w:hint="eastAsia" w:ascii="仿宋" w:hAnsi="仿宋" w:eastAsia="仿宋" w:cs="仿宋"/>
          <w:bCs w:val="0"/>
          <w:spacing w:val="-6"/>
          <w:sz w:val="24"/>
          <w:szCs w:val="24"/>
          <w:lang w:val="en-US" w:eastAsia="zh-CN"/>
        </w:rPr>
        <w:t>意向重整投资人应在期限内向管理人提交以密封形式装订成册的《重整意向投资方案》一式三份，同时提交一份已追加缴纳保证金的转账凭证，《重整意向投资方案》封面均加盖公章并由法定代表人（负责人）或授权委托人签字；同时提供与正本内容一致的word 版本电子文档（U盘），与重整意向投资方案一起密封放于文件袋中。逾期未提交《重整意向投资方案》或未追加缴纳重整保证金3000万元的，视为退出重整投资招募程序。</w:t>
      </w:r>
    </w:p>
    <w:p w14:paraId="1AE232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2" w:firstLineChars="200"/>
        <w:textAlignment w:val="baseline"/>
        <w:outlineLvl w:val="1"/>
        <w:rPr>
          <w:rFonts w:hint="eastAsia" w:ascii="仿宋" w:hAnsi="仿宋" w:eastAsia="仿宋" w:cs="仿宋"/>
          <w:b/>
          <w:bCs/>
          <w:spacing w:val="-5"/>
          <w:sz w:val="24"/>
          <w:szCs w:val="24"/>
          <w:lang w:eastAsia="zh-CN"/>
        </w:rPr>
      </w:pPr>
      <w:r>
        <w:rPr>
          <w:rFonts w:hint="eastAsia" w:ascii="仿宋" w:hAnsi="仿宋" w:eastAsia="仿宋" w:cs="仿宋"/>
          <w:b/>
          <w:bCs/>
          <w:spacing w:val="-5"/>
          <w:sz w:val="24"/>
          <w:szCs w:val="24"/>
          <w:lang w:eastAsia="zh-CN"/>
        </w:rPr>
        <w:t>（四）报名文件的反馈</w:t>
      </w:r>
    </w:p>
    <w:p w14:paraId="4A3CA8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0" w:firstLineChars="200"/>
        <w:textAlignment w:val="baseline"/>
        <w:outlineLvl w:val="1"/>
        <w:rPr>
          <w:rFonts w:hint="eastAsia" w:ascii="仿宋" w:hAnsi="仿宋" w:eastAsia="仿宋" w:cs="仿宋"/>
          <w:spacing w:val="-5"/>
          <w:sz w:val="24"/>
          <w:szCs w:val="24"/>
          <w:lang w:eastAsia="zh-CN"/>
        </w:rPr>
      </w:pPr>
      <w:r>
        <w:rPr>
          <w:rFonts w:hint="eastAsia" w:ascii="仿宋" w:hAnsi="仿宋" w:eastAsia="仿宋" w:cs="仿宋"/>
          <w:color w:val="auto"/>
          <w:spacing w:val="-5"/>
          <w:sz w:val="24"/>
          <w:szCs w:val="24"/>
          <w:lang w:eastAsia="zh-CN"/>
        </w:rPr>
        <w:t>经审查，对于有效报名的且已提交符合要求的《重整意向投资方案》并</w:t>
      </w:r>
      <w:r>
        <w:rPr>
          <w:rFonts w:hint="eastAsia" w:ascii="仿宋" w:hAnsi="仿宋" w:eastAsia="仿宋" w:cs="仿宋"/>
          <w:color w:val="0000FF"/>
          <w:spacing w:val="-8"/>
          <w:sz w:val="24"/>
          <w:szCs w:val="24"/>
          <w:lang w:val="en-US" w:eastAsia="zh-CN"/>
        </w:rPr>
        <w:t>足额缴纳全部保证金（合计3200万元）</w:t>
      </w:r>
      <w:r>
        <w:rPr>
          <w:rFonts w:hint="eastAsia" w:ascii="仿宋" w:hAnsi="仿宋" w:eastAsia="仿宋" w:cs="仿宋"/>
          <w:color w:val="auto"/>
          <w:spacing w:val="-5"/>
          <w:sz w:val="24"/>
          <w:szCs w:val="24"/>
          <w:lang w:eastAsia="zh-CN"/>
        </w:rPr>
        <w:t>的</w:t>
      </w:r>
      <w:r>
        <w:rPr>
          <w:rFonts w:hint="eastAsia" w:ascii="仿宋" w:hAnsi="仿宋" w:eastAsia="仿宋" w:cs="仿宋"/>
          <w:color w:val="auto"/>
          <w:spacing w:val="-5"/>
          <w:sz w:val="24"/>
          <w:szCs w:val="24"/>
          <w:lang w:val="en-US" w:eastAsia="zh-CN"/>
        </w:rPr>
        <w:t>意向</w:t>
      </w:r>
      <w:r>
        <w:rPr>
          <w:rFonts w:hint="eastAsia" w:ascii="仿宋" w:hAnsi="仿宋" w:eastAsia="仿宋" w:cs="仿宋"/>
          <w:color w:val="auto"/>
          <w:spacing w:val="-5"/>
          <w:sz w:val="24"/>
          <w:szCs w:val="24"/>
          <w:lang w:eastAsia="zh-CN"/>
        </w:rPr>
        <w:t>重整投资人，管理人向其发出入围通知书。管</w:t>
      </w:r>
      <w:r>
        <w:rPr>
          <w:rFonts w:hint="eastAsia" w:ascii="仿宋" w:hAnsi="仿宋" w:eastAsia="仿宋" w:cs="仿宋"/>
          <w:spacing w:val="-5"/>
          <w:sz w:val="24"/>
          <w:szCs w:val="24"/>
          <w:lang w:eastAsia="zh-CN"/>
        </w:rPr>
        <w:t>理人有权根据实际情况要求报名人对报名文件有关内容解释或说明。</w:t>
      </w:r>
    </w:p>
    <w:p w14:paraId="0BEA648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62" w:firstLineChars="200"/>
        <w:textAlignment w:val="baseline"/>
        <w:outlineLvl w:val="1"/>
        <w:rPr>
          <w:rFonts w:hint="eastAsia" w:ascii="仿宋" w:hAnsi="仿宋" w:eastAsia="仿宋" w:cs="仿宋"/>
          <w:b/>
          <w:bCs/>
          <w:spacing w:val="-5"/>
          <w:sz w:val="24"/>
          <w:szCs w:val="24"/>
          <w:lang w:eastAsia="zh-CN"/>
        </w:rPr>
      </w:pPr>
      <w:r>
        <w:rPr>
          <w:rFonts w:hint="eastAsia" w:ascii="仿宋" w:hAnsi="仿宋" w:eastAsia="仿宋" w:cs="仿宋"/>
          <w:b/>
          <w:bCs/>
          <w:spacing w:val="-5"/>
          <w:sz w:val="24"/>
          <w:szCs w:val="24"/>
          <w:lang w:eastAsia="zh-CN"/>
        </w:rPr>
        <w:t>遴选规则及意向重整投资人的确定</w:t>
      </w:r>
    </w:p>
    <w:p w14:paraId="15A682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68" w:firstLineChars="200"/>
        <w:textAlignment w:val="baseline"/>
        <w:outlineLvl w:val="1"/>
        <w:rPr>
          <w:rFonts w:hint="eastAsia" w:ascii="仿宋" w:hAnsi="仿宋" w:eastAsia="仿宋" w:cs="仿宋"/>
          <w:b w:val="0"/>
          <w:bCs w:val="0"/>
          <w:color w:val="auto"/>
          <w:spacing w:val="-3"/>
          <w:sz w:val="24"/>
          <w:szCs w:val="24"/>
          <w:lang w:val="en-US" w:eastAsia="zh-CN"/>
        </w:rPr>
      </w:pPr>
      <w:r>
        <w:rPr>
          <w:rFonts w:hint="eastAsia" w:ascii="仿宋" w:hAnsi="仿宋" w:eastAsia="仿宋" w:cs="仿宋"/>
          <w:b w:val="0"/>
          <w:bCs w:val="0"/>
          <w:color w:val="auto"/>
          <w:spacing w:val="-3"/>
          <w:sz w:val="24"/>
          <w:szCs w:val="24"/>
          <w:lang w:val="en-US" w:eastAsia="zh-CN"/>
        </w:rPr>
        <w:t>1.</w:t>
      </w:r>
      <w:r>
        <w:rPr>
          <w:rFonts w:hint="eastAsia" w:ascii="仿宋" w:hAnsi="仿宋" w:eastAsia="仿宋" w:cs="仿宋"/>
          <w:b w:val="0"/>
          <w:bCs w:val="0"/>
          <w:color w:val="auto"/>
          <w:spacing w:val="-3"/>
          <w:sz w:val="24"/>
          <w:szCs w:val="24"/>
        </w:rPr>
        <w:t>在招募期间，</w:t>
      </w:r>
      <w:r>
        <w:rPr>
          <w:rFonts w:hint="eastAsia" w:ascii="仿宋" w:hAnsi="仿宋" w:eastAsia="仿宋" w:cs="仿宋"/>
          <w:b w:val="0"/>
          <w:bCs w:val="0"/>
          <w:color w:val="auto"/>
          <w:spacing w:val="-3"/>
          <w:sz w:val="24"/>
          <w:szCs w:val="24"/>
          <w:lang w:val="en-US" w:eastAsia="zh-CN"/>
        </w:rPr>
        <w:t>若仅有1家意向重整投资人</w:t>
      </w:r>
      <w:r>
        <w:rPr>
          <w:rFonts w:hint="eastAsia" w:ascii="仿宋" w:hAnsi="仿宋" w:eastAsia="仿宋" w:cs="仿宋"/>
          <w:b w:val="0"/>
          <w:bCs w:val="0"/>
          <w:color w:val="auto"/>
          <w:spacing w:val="-3"/>
          <w:sz w:val="24"/>
          <w:szCs w:val="24"/>
        </w:rPr>
        <w:t>提交《重整意向投资方案》</w:t>
      </w:r>
      <w:r>
        <w:rPr>
          <w:rFonts w:hint="eastAsia" w:ascii="仿宋" w:hAnsi="仿宋" w:eastAsia="仿宋" w:cs="仿宋"/>
          <w:b w:val="0"/>
          <w:bCs w:val="0"/>
          <w:color w:val="auto"/>
          <w:spacing w:val="-3"/>
          <w:sz w:val="24"/>
          <w:szCs w:val="24"/>
          <w:lang w:val="en-US" w:eastAsia="zh-CN"/>
        </w:rPr>
        <w:t>且经管理人审查合格并</w:t>
      </w:r>
      <w:r>
        <w:rPr>
          <w:rFonts w:hint="eastAsia" w:ascii="仿宋" w:hAnsi="仿宋" w:eastAsia="仿宋" w:cs="仿宋"/>
          <w:b w:val="0"/>
          <w:bCs w:val="0"/>
          <w:color w:val="auto"/>
          <w:spacing w:val="-3"/>
          <w:sz w:val="24"/>
          <w:szCs w:val="24"/>
        </w:rPr>
        <w:t>缴纳投资保证金</w:t>
      </w:r>
      <w:r>
        <w:rPr>
          <w:rFonts w:hint="eastAsia" w:ascii="仿宋" w:hAnsi="仿宋" w:eastAsia="仿宋" w:cs="仿宋"/>
          <w:b w:val="0"/>
          <w:bCs w:val="0"/>
          <w:color w:val="auto"/>
          <w:spacing w:val="-3"/>
          <w:sz w:val="24"/>
          <w:szCs w:val="24"/>
          <w:lang w:eastAsia="zh-CN"/>
        </w:rPr>
        <w:t>的</w:t>
      </w:r>
      <w:r>
        <w:rPr>
          <w:rFonts w:hint="eastAsia" w:ascii="仿宋" w:hAnsi="仿宋" w:eastAsia="仿宋" w:cs="仿宋"/>
          <w:b w:val="0"/>
          <w:bCs w:val="0"/>
          <w:color w:val="auto"/>
          <w:spacing w:val="-3"/>
          <w:sz w:val="24"/>
          <w:szCs w:val="24"/>
        </w:rPr>
        <w:t>，</w:t>
      </w:r>
      <w:r>
        <w:rPr>
          <w:rFonts w:hint="eastAsia" w:ascii="仿宋" w:hAnsi="仿宋" w:eastAsia="仿宋" w:cs="仿宋"/>
          <w:b w:val="0"/>
          <w:bCs w:val="0"/>
          <w:color w:val="auto"/>
          <w:spacing w:val="-3"/>
          <w:sz w:val="24"/>
          <w:szCs w:val="24"/>
          <w:lang w:val="en-US" w:eastAsia="zh-CN"/>
        </w:rPr>
        <w:t>该意向重整投资人即为确定的重整投资人。</w:t>
      </w:r>
    </w:p>
    <w:p w14:paraId="408196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若提交《重整意向投资方案》且经管理人审查合格并缴纳投资保证金的意向投资人超过1家的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管理人将根据实际情况并经</w:t>
      </w:r>
      <w:r>
        <w:rPr>
          <w:rFonts w:hint="eastAsia" w:ascii="仿宋" w:hAnsi="仿宋" w:eastAsia="仿宋" w:cs="仿宋"/>
          <w:color w:val="auto"/>
          <w:sz w:val="24"/>
          <w:szCs w:val="24"/>
          <w:lang w:val="en-US" w:eastAsia="zh-CN"/>
        </w:rPr>
        <w:t>东莞中院</w:t>
      </w:r>
      <w:r>
        <w:rPr>
          <w:rFonts w:hint="eastAsia" w:ascii="仿宋" w:hAnsi="仿宋" w:eastAsia="仿宋" w:cs="仿宋"/>
          <w:color w:val="auto"/>
          <w:sz w:val="24"/>
          <w:szCs w:val="24"/>
        </w:rPr>
        <w:t>同意后，选择以下任一方式确定最终的重整投资人：</w:t>
      </w:r>
    </w:p>
    <w:p w14:paraId="34301F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方式一：将收到的多个《重整意向投资方案》提交债权人会议表决，根据表决结果确定最终的重整投资人，选定规则为：</w:t>
      </w:r>
    </w:p>
    <w:p w14:paraId="6AC36F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提交的</w:t>
      </w:r>
      <w:r>
        <w:rPr>
          <w:rFonts w:hint="eastAsia" w:ascii="仿宋" w:hAnsi="仿宋" w:eastAsia="仿宋" w:cs="仿宋"/>
          <w:color w:val="auto"/>
          <w:sz w:val="24"/>
          <w:szCs w:val="24"/>
          <w:lang w:eastAsia="zh-CN"/>
        </w:rPr>
        <w:t>《重整意向投资方案》</w:t>
      </w:r>
      <w:r>
        <w:rPr>
          <w:rFonts w:hint="eastAsia" w:ascii="仿宋" w:hAnsi="仿宋" w:eastAsia="仿宋" w:cs="仿宋"/>
          <w:color w:val="auto"/>
          <w:sz w:val="24"/>
          <w:szCs w:val="24"/>
        </w:rPr>
        <w:t>经出席会议的有表决权的债权人过半数同意，并且其所代表的债权额占无财产担保债权总额二分之一以上的，该</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即为确定的重整投资人；</w:t>
      </w:r>
    </w:p>
    <w:p w14:paraId="4A4608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（2）经表决所有</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提交的</w:t>
      </w:r>
      <w:r>
        <w:rPr>
          <w:rFonts w:hint="eastAsia" w:ascii="仿宋" w:hAnsi="仿宋" w:eastAsia="仿宋" w:cs="仿宋"/>
          <w:color w:val="auto"/>
          <w:sz w:val="24"/>
          <w:szCs w:val="24"/>
          <w:lang w:eastAsia="zh-CN"/>
        </w:rPr>
        <w:t>《重整意向投资方案》</w:t>
      </w:r>
      <w:r>
        <w:rPr>
          <w:rFonts w:hint="eastAsia" w:ascii="仿宋" w:hAnsi="仿宋" w:eastAsia="仿宋" w:cs="仿宋"/>
          <w:color w:val="auto"/>
          <w:sz w:val="24"/>
          <w:szCs w:val="24"/>
        </w:rPr>
        <w:t>均不符合第（1）项规定的标准，但其中一家</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提交的</w:t>
      </w:r>
      <w:r>
        <w:rPr>
          <w:rFonts w:hint="eastAsia" w:ascii="仿宋" w:hAnsi="仿宋" w:eastAsia="仿宋" w:cs="仿宋"/>
          <w:color w:val="auto"/>
          <w:sz w:val="24"/>
          <w:szCs w:val="24"/>
          <w:lang w:eastAsia="zh-CN"/>
        </w:rPr>
        <w:t>《重整意向投资方案》</w:t>
      </w:r>
      <w:r>
        <w:rPr>
          <w:rFonts w:hint="eastAsia" w:ascii="仿宋" w:hAnsi="仿宋" w:eastAsia="仿宋" w:cs="仿宋"/>
          <w:color w:val="auto"/>
          <w:sz w:val="24"/>
          <w:szCs w:val="24"/>
        </w:rPr>
        <w:t>获得同意的表决人数、债权额比例均超过其他</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的，该</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即为确定的重整投资人；</w:t>
      </w:r>
    </w:p>
    <w:p w14:paraId="69A20F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（3）经表决所有</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提交的</w:t>
      </w:r>
      <w:r>
        <w:rPr>
          <w:rFonts w:hint="eastAsia" w:ascii="仿宋" w:hAnsi="仿宋" w:eastAsia="仿宋" w:cs="仿宋"/>
          <w:color w:val="auto"/>
          <w:sz w:val="24"/>
          <w:szCs w:val="24"/>
          <w:lang w:eastAsia="zh-CN"/>
        </w:rPr>
        <w:t>《重整意向投资方案》</w:t>
      </w:r>
      <w:r>
        <w:rPr>
          <w:rFonts w:hint="eastAsia" w:ascii="仿宋" w:hAnsi="仿宋" w:eastAsia="仿宋" w:cs="仿宋"/>
          <w:color w:val="auto"/>
          <w:sz w:val="24"/>
          <w:szCs w:val="24"/>
        </w:rPr>
        <w:t>均不符合第</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项规定的标准，但仅有两家</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参与表决的，获得较多</w:t>
      </w:r>
      <w:r>
        <w:rPr>
          <w:rFonts w:hint="eastAsia" w:ascii="仿宋" w:hAnsi="仿宋" w:eastAsia="仿宋" w:cs="仿宋"/>
          <w:color w:val="auto"/>
          <w:sz w:val="24"/>
          <w:szCs w:val="24"/>
          <w:lang w:val="en-US" w:eastAsia="zh-CN"/>
        </w:rPr>
        <w:t>人数</w:t>
      </w:r>
      <w:r>
        <w:rPr>
          <w:rFonts w:hint="eastAsia" w:ascii="仿宋" w:hAnsi="仿宋" w:eastAsia="仿宋" w:cs="仿宋"/>
          <w:color w:val="auto"/>
          <w:sz w:val="24"/>
          <w:szCs w:val="24"/>
        </w:rPr>
        <w:t>债权人支持的即为确定的重整投资人；超过两家</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参与表决的，由债权人会议对最多债权人和最多债权额同意的两家</w:t>
      </w:r>
      <w:r>
        <w:rPr>
          <w:rFonts w:hint="eastAsia" w:ascii="仿宋" w:hAnsi="仿宋" w:eastAsia="仿宋" w:cs="仿宋"/>
          <w:color w:val="auto"/>
          <w:sz w:val="24"/>
          <w:szCs w:val="24"/>
          <w:lang w:eastAsia="zh-CN"/>
        </w:rPr>
        <w:t>意向重整投资人</w:t>
      </w:r>
      <w:r>
        <w:rPr>
          <w:rFonts w:hint="eastAsia" w:ascii="仿宋" w:hAnsi="仿宋" w:eastAsia="仿宋" w:cs="仿宋"/>
          <w:color w:val="auto"/>
          <w:sz w:val="24"/>
          <w:szCs w:val="24"/>
        </w:rPr>
        <w:t>按照本规则再次表决</w:t>
      </w:r>
      <w:r>
        <w:rPr>
          <w:rFonts w:hint="eastAsia" w:ascii="仿宋" w:hAnsi="仿宋" w:eastAsia="仿宋" w:cs="仿宋"/>
          <w:color w:val="auto"/>
          <w:sz w:val="24"/>
          <w:szCs w:val="24"/>
          <w:lang w:eastAsia="zh-CN"/>
        </w:rPr>
        <w:t>。</w:t>
      </w:r>
    </w:p>
    <w:p w14:paraId="334016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方式二：管理人根据报价、债权清偿方案及本案重整的实际情况综合遴选出一家托底投资人，并通过拍卖重整投资人资格的方式来选定最终的重整投资人。</w:t>
      </w:r>
    </w:p>
    <w:p w14:paraId="49D3791B">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Chars="0" w:right="0" w:rightChars="0"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签订《重整投资协议》</w:t>
      </w:r>
    </w:p>
    <w:p w14:paraId="20A9121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按照前述程序确定重整投资人后，重整投资人应按管理人的要求签署正式的《重整投资协议》。若重整投资人未在管理人要求的期限内签订《重整投资协议》或拒绝签订《重整投资协议》的，管理人有权取消其重整投资</w:t>
      </w:r>
      <w:bookmarkStart w:id="0" w:name="_GoBack"/>
      <w:bookmarkEnd w:id="0"/>
      <w:r>
        <w:rPr>
          <w:rFonts w:hint="eastAsia" w:ascii="仿宋" w:hAnsi="仿宋" w:eastAsia="仿宋" w:cs="仿宋"/>
          <w:color w:val="auto"/>
          <w:sz w:val="24"/>
          <w:szCs w:val="24"/>
        </w:rPr>
        <w:t>人资格并没收全部重整保证金，且重整投资人不得继续参与后续重整程序。</w:t>
      </w:r>
    </w:p>
    <w:p w14:paraId="267E83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重整投资人签订《重整投资协议》后，以《重整投资协议》及《</w:t>
      </w:r>
      <w:r>
        <w:rPr>
          <w:rFonts w:hint="eastAsia" w:ascii="仿宋" w:hAnsi="仿宋" w:eastAsia="仿宋" w:cs="仿宋"/>
          <w:color w:val="auto"/>
          <w:sz w:val="24"/>
          <w:szCs w:val="24"/>
          <w:lang w:eastAsia="zh-CN"/>
        </w:rPr>
        <w:t>重整意向投资方案</w:t>
      </w:r>
      <w:r>
        <w:rPr>
          <w:rFonts w:hint="eastAsia" w:ascii="仿宋" w:hAnsi="仿宋" w:eastAsia="仿宋" w:cs="仿宋"/>
          <w:color w:val="auto"/>
          <w:sz w:val="24"/>
          <w:szCs w:val="24"/>
        </w:rPr>
        <w:t>》为基础制定重整计划草案。</w:t>
      </w:r>
    </w:p>
    <w:p w14:paraId="2B6B41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2" w:firstLineChars="200"/>
        <w:textAlignment w:val="baseline"/>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六、保证金的退还、转化及没收</w:t>
      </w:r>
    </w:p>
    <w:p w14:paraId="566822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76" w:firstLineChars="200"/>
        <w:textAlignment w:val="baseline"/>
        <w:outlineLvl w:val="1"/>
        <w:rPr>
          <w:rFonts w:hint="eastAsia" w:ascii="仿宋" w:hAnsi="仿宋" w:eastAsia="仿宋" w:cs="仿宋"/>
          <w:color w:val="auto"/>
          <w:spacing w:val="-1"/>
          <w:sz w:val="24"/>
          <w:szCs w:val="24"/>
          <w:u w:val="none" w:color="auto"/>
        </w:rPr>
      </w:pPr>
      <w:r>
        <w:rPr>
          <w:rFonts w:hint="eastAsia" w:ascii="仿宋" w:hAnsi="仿宋" w:eastAsia="仿宋" w:cs="仿宋"/>
          <w:color w:val="auto"/>
          <w:spacing w:val="-1"/>
          <w:sz w:val="24"/>
          <w:szCs w:val="24"/>
          <w:u w:val="none" w:color="auto"/>
          <w:lang w:val="en-US" w:eastAsia="zh-CN"/>
        </w:rPr>
        <w:t>（一）</w:t>
      </w:r>
      <w:r>
        <w:rPr>
          <w:rFonts w:hint="eastAsia" w:ascii="仿宋" w:hAnsi="仿宋" w:eastAsia="仿宋" w:cs="仿宋"/>
          <w:color w:val="auto"/>
          <w:spacing w:val="-1"/>
          <w:sz w:val="24"/>
          <w:szCs w:val="24"/>
          <w:u w:val="none" w:color="auto"/>
        </w:rPr>
        <w:t>若出现以下任一情形，经</w:t>
      </w:r>
      <w:r>
        <w:rPr>
          <w:rFonts w:hint="eastAsia" w:ascii="仿宋" w:hAnsi="仿宋" w:eastAsia="仿宋" w:cs="仿宋"/>
          <w:color w:val="auto"/>
          <w:spacing w:val="-1"/>
          <w:sz w:val="24"/>
          <w:szCs w:val="24"/>
          <w:u w:val="none" w:color="auto"/>
          <w:lang w:eastAsia="zh-CN"/>
        </w:rPr>
        <w:t>意向重整投资人</w:t>
      </w:r>
      <w:r>
        <w:rPr>
          <w:rFonts w:hint="eastAsia" w:ascii="仿宋" w:hAnsi="仿宋" w:eastAsia="仿宋" w:cs="仿宋"/>
          <w:color w:val="auto"/>
          <w:spacing w:val="-1"/>
          <w:sz w:val="24"/>
          <w:szCs w:val="24"/>
          <w:u w:val="none" w:color="auto"/>
        </w:rPr>
        <w:t>书面申请，该</w:t>
      </w:r>
      <w:r>
        <w:rPr>
          <w:rFonts w:hint="eastAsia" w:ascii="仿宋" w:hAnsi="仿宋" w:eastAsia="仿宋" w:cs="仿宋"/>
          <w:color w:val="auto"/>
          <w:spacing w:val="-1"/>
          <w:sz w:val="24"/>
          <w:szCs w:val="24"/>
          <w:u w:val="none" w:color="auto"/>
          <w:lang w:eastAsia="zh-CN"/>
        </w:rPr>
        <w:t>意向重整投资人</w:t>
      </w:r>
      <w:r>
        <w:rPr>
          <w:rFonts w:hint="eastAsia" w:ascii="仿宋" w:hAnsi="仿宋" w:eastAsia="仿宋" w:cs="仿宋"/>
          <w:color w:val="auto"/>
          <w:spacing w:val="-1"/>
          <w:sz w:val="24"/>
          <w:szCs w:val="24"/>
          <w:u w:val="none" w:color="auto"/>
        </w:rPr>
        <w:t>所缴纳的所有保证金，管理人将</w:t>
      </w:r>
      <w:r>
        <w:rPr>
          <w:rFonts w:hint="eastAsia" w:ascii="仿宋" w:hAnsi="仿宋" w:eastAsia="仿宋" w:cs="仿宋"/>
          <w:b/>
          <w:bCs/>
          <w:color w:val="auto"/>
          <w:spacing w:val="-1"/>
          <w:sz w:val="24"/>
          <w:szCs w:val="24"/>
          <w:u w:val="single" w:color="auto"/>
        </w:rPr>
        <w:t>全额无息退还</w:t>
      </w:r>
      <w:r>
        <w:rPr>
          <w:rFonts w:hint="eastAsia" w:ascii="仿宋" w:hAnsi="仿宋" w:eastAsia="仿宋" w:cs="仿宋"/>
          <w:color w:val="auto"/>
          <w:spacing w:val="-1"/>
          <w:sz w:val="24"/>
          <w:szCs w:val="24"/>
          <w:u w:val="none" w:color="auto"/>
        </w:rPr>
        <w:t>该</w:t>
      </w:r>
      <w:r>
        <w:rPr>
          <w:rFonts w:hint="eastAsia" w:ascii="仿宋" w:hAnsi="仿宋" w:eastAsia="仿宋" w:cs="仿宋"/>
          <w:color w:val="auto"/>
          <w:spacing w:val="-1"/>
          <w:sz w:val="24"/>
          <w:szCs w:val="24"/>
          <w:u w:val="none" w:color="auto"/>
          <w:lang w:eastAsia="zh-CN"/>
        </w:rPr>
        <w:t>意向重整投资人</w:t>
      </w:r>
      <w:r>
        <w:rPr>
          <w:rFonts w:hint="eastAsia" w:ascii="仿宋" w:hAnsi="仿宋" w:eastAsia="仿宋" w:cs="仿宋"/>
          <w:color w:val="auto"/>
          <w:spacing w:val="-1"/>
          <w:sz w:val="24"/>
          <w:szCs w:val="24"/>
          <w:u w:val="none" w:color="auto"/>
        </w:rPr>
        <w:t>：</w:t>
      </w:r>
    </w:p>
    <w:p w14:paraId="54D233F6">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right="0" w:rightChars="0" w:firstLine="420" w:firstLineChars="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lang w:eastAsia="zh-CN"/>
        </w:rPr>
        <w:t>意向重整投资人</w:t>
      </w:r>
      <w:r>
        <w:rPr>
          <w:rFonts w:hint="eastAsia" w:ascii="仿宋" w:hAnsi="仿宋" w:eastAsia="仿宋" w:cs="仿宋"/>
          <w:spacing w:val="-1"/>
          <w:sz w:val="24"/>
          <w:szCs w:val="24"/>
          <w:u w:val="none" w:color="auto"/>
        </w:rPr>
        <w:t>未被选定为确定的重整投资人；</w:t>
      </w:r>
    </w:p>
    <w:p w14:paraId="76CEE54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right="0" w:rightChars="0" w:firstLine="420" w:firstLineChars="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lang w:eastAsia="zh-CN"/>
        </w:rPr>
        <w:t>意向重整投资人</w:t>
      </w:r>
      <w:r>
        <w:rPr>
          <w:rFonts w:hint="eastAsia" w:ascii="仿宋" w:hAnsi="仿宋" w:eastAsia="仿宋" w:cs="仿宋"/>
          <w:spacing w:val="-1"/>
          <w:sz w:val="24"/>
          <w:szCs w:val="24"/>
          <w:u w:val="none" w:color="auto"/>
        </w:rPr>
        <w:t>在支付报名保证金后、提交《</w:t>
      </w:r>
      <w:r>
        <w:rPr>
          <w:rFonts w:hint="eastAsia" w:ascii="仿宋" w:hAnsi="仿宋" w:eastAsia="仿宋" w:cs="仿宋"/>
          <w:spacing w:val="-1"/>
          <w:sz w:val="24"/>
          <w:szCs w:val="24"/>
          <w:u w:val="none" w:color="auto"/>
          <w:lang w:eastAsia="zh-CN"/>
        </w:rPr>
        <w:t>重整意向投资方案</w:t>
      </w:r>
      <w:r>
        <w:rPr>
          <w:rFonts w:hint="eastAsia" w:ascii="仿宋" w:hAnsi="仿宋" w:eastAsia="仿宋" w:cs="仿宋"/>
          <w:spacing w:val="-1"/>
          <w:sz w:val="24"/>
          <w:szCs w:val="24"/>
          <w:u w:val="none" w:color="auto"/>
        </w:rPr>
        <w:t>》期限届满前，以书面或邮件形式告知管理人放弃竞选资格的，或因未追加缴纳保证金而退出</w:t>
      </w:r>
      <w:r>
        <w:rPr>
          <w:rFonts w:hint="eastAsia" w:ascii="仿宋" w:hAnsi="仿宋" w:eastAsia="仿宋" w:cs="仿宋"/>
          <w:spacing w:val="-1"/>
          <w:sz w:val="24"/>
          <w:szCs w:val="24"/>
          <w:u w:val="none" w:color="auto"/>
          <w:lang w:eastAsia="zh-CN"/>
        </w:rPr>
        <w:t>意向重整投资人</w:t>
      </w:r>
      <w:r>
        <w:rPr>
          <w:rFonts w:hint="eastAsia" w:ascii="仿宋" w:hAnsi="仿宋" w:eastAsia="仿宋" w:cs="仿宋"/>
          <w:spacing w:val="-1"/>
          <w:sz w:val="24"/>
          <w:szCs w:val="24"/>
          <w:u w:val="none" w:color="auto"/>
        </w:rPr>
        <w:t>招募程序的；</w:t>
      </w:r>
    </w:p>
    <w:p w14:paraId="19B83757">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right="0" w:rightChars="0" w:firstLine="420" w:firstLineChars="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rPr>
        <w:t>重整计划草案提交</w:t>
      </w:r>
      <w:r>
        <w:rPr>
          <w:rFonts w:hint="eastAsia" w:ascii="仿宋" w:hAnsi="仿宋" w:eastAsia="仿宋" w:cs="仿宋"/>
          <w:spacing w:val="-1"/>
          <w:sz w:val="24"/>
          <w:szCs w:val="24"/>
          <w:u w:val="none" w:color="auto"/>
          <w:lang w:val="en-US" w:eastAsia="zh-CN"/>
        </w:rPr>
        <w:t>华尔达公司</w:t>
      </w:r>
      <w:r>
        <w:rPr>
          <w:rFonts w:hint="eastAsia" w:ascii="仿宋" w:hAnsi="仿宋" w:eastAsia="仿宋" w:cs="仿宋"/>
          <w:spacing w:val="-1"/>
          <w:sz w:val="24"/>
          <w:szCs w:val="24"/>
          <w:u w:val="none" w:color="auto"/>
        </w:rPr>
        <w:t>债权人会议表决未获通过，且该</w:t>
      </w:r>
      <w:r>
        <w:rPr>
          <w:rFonts w:hint="eastAsia" w:ascii="仿宋" w:hAnsi="仿宋" w:eastAsia="仿宋" w:cs="仿宋"/>
          <w:spacing w:val="-1"/>
          <w:sz w:val="24"/>
          <w:szCs w:val="24"/>
          <w:u w:val="none" w:color="auto"/>
          <w:lang w:eastAsia="zh-CN"/>
        </w:rPr>
        <w:t>意向重整投资人</w:t>
      </w:r>
      <w:r>
        <w:rPr>
          <w:rFonts w:hint="eastAsia" w:ascii="仿宋" w:hAnsi="仿宋" w:eastAsia="仿宋" w:cs="仿宋"/>
          <w:spacing w:val="-1"/>
          <w:sz w:val="24"/>
          <w:szCs w:val="24"/>
          <w:u w:val="none" w:color="auto"/>
        </w:rPr>
        <w:t>明确不再继续参与重整；</w:t>
      </w:r>
    </w:p>
    <w:p w14:paraId="526D4B0C">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0" w:leftChars="0" w:right="0" w:rightChars="0" w:firstLine="420" w:firstLineChars="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rPr>
        <w:t>重整计划草案未获得</w:t>
      </w:r>
      <w:r>
        <w:rPr>
          <w:rFonts w:hint="eastAsia" w:ascii="仿宋" w:hAnsi="仿宋" w:eastAsia="仿宋" w:cs="仿宋"/>
          <w:spacing w:val="-1"/>
          <w:sz w:val="24"/>
          <w:szCs w:val="24"/>
          <w:u w:val="none" w:color="auto"/>
          <w:lang w:eastAsia="zh-CN"/>
        </w:rPr>
        <w:t>东莞中院</w:t>
      </w:r>
      <w:r>
        <w:rPr>
          <w:rFonts w:hint="eastAsia" w:ascii="仿宋" w:hAnsi="仿宋" w:eastAsia="仿宋" w:cs="仿宋"/>
          <w:spacing w:val="-1"/>
          <w:sz w:val="24"/>
          <w:szCs w:val="24"/>
          <w:u w:val="none" w:color="auto"/>
        </w:rPr>
        <w:t>批准。</w:t>
      </w:r>
    </w:p>
    <w:p w14:paraId="58441C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76" w:firstLineChars="20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lang w:val="en-US" w:eastAsia="zh-CN"/>
        </w:rPr>
        <w:t>（二）</w:t>
      </w:r>
      <w:r>
        <w:rPr>
          <w:rFonts w:hint="eastAsia" w:ascii="仿宋" w:hAnsi="仿宋" w:eastAsia="仿宋" w:cs="仿宋"/>
          <w:spacing w:val="-1"/>
          <w:sz w:val="24"/>
          <w:szCs w:val="24"/>
          <w:u w:val="none" w:color="auto"/>
        </w:rPr>
        <w:t>若出现以下任一情形，该</w:t>
      </w:r>
      <w:r>
        <w:rPr>
          <w:rFonts w:hint="eastAsia" w:ascii="仿宋" w:hAnsi="仿宋" w:eastAsia="仿宋" w:cs="仿宋"/>
          <w:spacing w:val="-1"/>
          <w:sz w:val="24"/>
          <w:szCs w:val="24"/>
          <w:u w:val="none" w:color="auto"/>
          <w:lang w:eastAsia="zh-CN"/>
        </w:rPr>
        <w:t>意向重整投资人</w:t>
      </w:r>
      <w:r>
        <w:rPr>
          <w:rFonts w:hint="eastAsia" w:ascii="仿宋" w:hAnsi="仿宋" w:eastAsia="仿宋" w:cs="仿宋"/>
          <w:spacing w:val="-1"/>
          <w:sz w:val="24"/>
          <w:szCs w:val="24"/>
          <w:u w:val="none" w:color="auto"/>
        </w:rPr>
        <w:t>所缴纳的全部保证金，管理人有权没收并作为</w:t>
      </w:r>
      <w:r>
        <w:rPr>
          <w:rFonts w:hint="eastAsia" w:ascii="仿宋" w:hAnsi="仿宋" w:eastAsia="仿宋" w:cs="仿宋"/>
          <w:spacing w:val="-1"/>
          <w:sz w:val="24"/>
          <w:szCs w:val="24"/>
          <w:u w:val="none" w:color="auto"/>
          <w:lang w:eastAsia="zh-CN"/>
        </w:rPr>
        <w:t>华尔达公司</w:t>
      </w:r>
      <w:r>
        <w:rPr>
          <w:rFonts w:hint="eastAsia" w:ascii="仿宋" w:hAnsi="仿宋" w:eastAsia="仿宋" w:cs="仿宋"/>
          <w:spacing w:val="-1"/>
          <w:sz w:val="24"/>
          <w:szCs w:val="24"/>
          <w:u w:val="none" w:color="auto"/>
        </w:rPr>
        <w:t>破产财产：</w:t>
      </w:r>
    </w:p>
    <w:p w14:paraId="35436ED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rightChars="0" w:firstLine="420" w:firstLineChars="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rPr>
        <w:t>该</w:t>
      </w:r>
      <w:r>
        <w:rPr>
          <w:rFonts w:hint="eastAsia" w:ascii="仿宋" w:hAnsi="仿宋" w:eastAsia="仿宋" w:cs="仿宋"/>
          <w:spacing w:val="-1"/>
          <w:sz w:val="24"/>
          <w:szCs w:val="24"/>
          <w:u w:val="none" w:color="auto"/>
          <w:lang w:eastAsia="zh-CN"/>
        </w:rPr>
        <w:t>意向重整投资人</w:t>
      </w:r>
      <w:r>
        <w:rPr>
          <w:rFonts w:hint="eastAsia" w:ascii="仿宋" w:hAnsi="仿宋" w:eastAsia="仿宋" w:cs="仿宋"/>
          <w:spacing w:val="-1"/>
          <w:sz w:val="24"/>
          <w:szCs w:val="24"/>
          <w:u w:val="none" w:color="auto"/>
        </w:rPr>
        <w:t>被选定为最终的投资人后，未在管理人要求的期限内签订重整投资协议或拒不签署重整投资协议或放弃参与后续破产程序、不配合依法推进破产程序的；</w:t>
      </w:r>
    </w:p>
    <w:p w14:paraId="7109EC8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rightChars="0" w:firstLine="420" w:firstLineChars="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rPr>
        <w:t>因该</w:t>
      </w:r>
      <w:r>
        <w:rPr>
          <w:rFonts w:hint="eastAsia" w:ascii="仿宋" w:hAnsi="仿宋" w:eastAsia="仿宋" w:cs="仿宋"/>
          <w:spacing w:val="-1"/>
          <w:sz w:val="24"/>
          <w:szCs w:val="24"/>
          <w:u w:val="none" w:color="auto"/>
          <w:lang w:eastAsia="zh-CN"/>
        </w:rPr>
        <w:t>意向重整投资人</w:t>
      </w:r>
      <w:r>
        <w:rPr>
          <w:rFonts w:hint="eastAsia" w:ascii="仿宋" w:hAnsi="仿宋" w:eastAsia="仿宋" w:cs="仿宋"/>
          <w:spacing w:val="-1"/>
          <w:sz w:val="24"/>
          <w:szCs w:val="24"/>
          <w:u w:val="none" w:color="auto"/>
        </w:rPr>
        <w:t>不履行《重整投资协议》、丧失履约能力等原因导致本案后续破产程序无法推进、导致本案重新招募</w:t>
      </w:r>
      <w:r>
        <w:rPr>
          <w:rFonts w:hint="eastAsia" w:ascii="仿宋" w:hAnsi="仿宋" w:eastAsia="仿宋" w:cs="仿宋"/>
          <w:spacing w:val="-1"/>
          <w:sz w:val="24"/>
          <w:szCs w:val="24"/>
          <w:u w:val="none" w:color="auto"/>
          <w:lang w:eastAsia="zh-CN"/>
        </w:rPr>
        <w:t>意向重整投资人</w:t>
      </w:r>
      <w:r>
        <w:rPr>
          <w:rFonts w:hint="eastAsia" w:ascii="仿宋" w:hAnsi="仿宋" w:eastAsia="仿宋" w:cs="仿宋"/>
          <w:spacing w:val="-1"/>
          <w:sz w:val="24"/>
          <w:szCs w:val="24"/>
          <w:u w:val="none" w:color="auto"/>
        </w:rPr>
        <w:t>的；</w:t>
      </w:r>
    </w:p>
    <w:p w14:paraId="22D72633">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rightChars="0" w:firstLine="420" w:firstLineChars="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lang w:eastAsia="zh-CN"/>
        </w:rPr>
        <w:t>华尔达公司</w:t>
      </w:r>
      <w:r>
        <w:rPr>
          <w:rFonts w:hint="eastAsia" w:ascii="仿宋" w:hAnsi="仿宋" w:eastAsia="仿宋" w:cs="仿宋"/>
          <w:spacing w:val="-1"/>
          <w:sz w:val="24"/>
          <w:szCs w:val="24"/>
          <w:u w:val="none" w:color="auto"/>
        </w:rPr>
        <w:t>重整计划草案获得</w:t>
      </w:r>
      <w:r>
        <w:rPr>
          <w:rFonts w:hint="eastAsia" w:ascii="仿宋" w:hAnsi="仿宋" w:eastAsia="仿宋" w:cs="仿宋"/>
          <w:spacing w:val="-1"/>
          <w:sz w:val="24"/>
          <w:szCs w:val="24"/>
          <w:u w:val="none" w:color="auto"/>
          <w:lang w:eastAsia="zh-CN"/>
        </w:rPr>
        <w:t>东莞中院</w:t>
      </w:r>
      <w:r>
        <w:rPr>
          <w:rFonts w:hint="eastAsia" w:ascii="仿宋" w:hAnsi="仿宋" w:eastAsia="仿宋" w:cs="仿宋"/>
          <w:spacing w:val="-1"/>
          <w:sz w:val="24"/>
          <w:szCs w:val="24"/>
          <w:u w:val="none" w:color="auto"/>
        </w:rPr>
        <w:t>批准后，该重整投资人不履行其在重整计划当中的承诺，导致法院裁定终止重整计划的执行并宣告</w:t>
      </w:r>
      <w:r>
        <w:rPr>
          <w:rFonts w:hint="eastAsia" w:ascii="仿宋" w:hAnsi="仿宋" w:eastAsia="仿宋" w:cs="仿宋"/>
          <w:spacing w:val="-1"/>
          <w:sz w:val="24"/>
          <w:szCs w:val="24"/>
          <w:u w:val="none" w:color="auto"/>
          <w:lang w:eastAsia="zh-CN"/>
        </w:rPr>
        <w:t>华尔达公司</w:t>
      </w:r>
      <w:r>
        <w:rPr>
          <w:rFonts w:hint="eastAsia" w:ascii="仿宋" w:hAnsi="仿宋" w:eastAsia="仿宋" w:cs="仿宋"/>
          <w:spacing w:val="-1"/>
          <w:sz w:val="24"/>
          <w:szCs w:val="24"/>
          <w:u w:val="none" w:color="auto"/>
        </w:rPr>
        <w:t>破产的；</w:t>
      </w:r>
    </w:p>
    <w:p w14:paraId="319433E4">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rightChars="0" w:firstLine="420" w:firstLineChars="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rPr>
        <w:t>经管理人发现，个别主体假借竞选之名，扰乱本项目破产秩序，违反法律规定，情节严重的；</w:t>
      </w:r>
    </w:p>
    <w:p w14:paraId="228B64AB">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rightChars="0" w:firstLine="420" w:firstLineChars="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rPr>
        <w:t>经管理人报法院同意后决定没收保证金的其他情形。</w:t>
      </w:r>
    </w:p>
    <w:p w14:paraId="56673B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76" w:firstLineChars="20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lang w:eastAsia="zh-CN"/>
        </w:rPr>
        <w:t>（</w:t>
      </w:r>
      <w:r>
        <w:rPr>
          <w:rFonts w:hint="eastAsia" w:ascii="仿宋" w:hAnsi="仿宋" w:eastAsia="仿宋" w:cs="仿宋"/>
          <w:spacing w:val="-1"/>
          <w:sz w:val="24"/>
          <w:szCs w:val="24"/>
          <w:u w:val="none" w:color="auto"/>
          <w:lang w:val="en-US" w:eastAsia="zh-CN"/>
        </w:rPr>
        <w:t>三</w:t>
      </w:r>
      <w:r>
        <w:rPr>
          <w:rFonts w:hint="eastAsia" w:ascii="仿宋" w:hAnsi="仿宋" w:eastAsia="仿宋" w:cs="仿宋"/>
          <w:spacing w:val="-1"/>
          <w:sz w:val="24"/>
          <w:szCs w:val="24"/>
          <w:u w:val="none" w:color="auto"/>
          <w:lang w:eastAsia="zh-CN"/>
        </w:rPr>
        <w:t>）</w:t>
      </w:r>
      <w:r>
        <w:rPr>
          <w:rFonts w:hint="eastAsia" w:ascii="仿宋" w:hAnsi="仿宋" w:eastAsia="仿宋" w:cs="仿宋"/>
          <w:spacing w:val="-1"/>
          <w:sz w:val="24"/>
          <w:szCs w:val="24"/>
          <w:u w:val="none" w:color="auto"/>
        </w:rPr>
        <w:t>重整计划草案最终获得</w:t>
      </w:r>
      <w:r>
        <w:rPr>
          <w:rFonts w:hint="eastAsia" w:ascii="仿宋" w:hAnsi="仿宋" w:eastAsia="仿宋" w:cs="仿宋"/>
          <w:spacing w:val="-1"/>
          <w:sz w:val="24"/>
          <w:szCs w:val="24"/>
          <w:u w:val="none" w:color="auto"/>
          <w:lang w:eastAsia="zh-CN"/>
        </w:rPr>
        <w:t>东莞中院</w:t>
      </w:r>
      <w:r>
        <w:rPr>
          <w:rFonts w:hint="eastAsia" w:ascii="仿宋" w:hAnsi="仿宋" w:eastAsia="仿宋" w:cs="仿宋"/>
          <w:spacing w:val="-1"/>
          <w:sz w:val="24"/>
          <w:szCs w:val="24"/>
          <w:u w:val="none" w:color="auto"/>
        </w:rPr>
        <w:t>裁定批准的，该重整投资人所缴纳的全部重整保证金（含报名保证金）转为执行重整计划所应投入重整投资款项的一部分。</w:t>
      </w:r>
    </w:p>
    <w:p w14:paraId="49A993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76" w:firstLineChars="200"/>
        <w:textAlignment w:val="baseline"/>
        <w:outlineLvl w:val="1"/>
        <w:rPr>
          <w:rFonts w:hint="eastAsia" w:ascii="仿宋" w:hAnsi="仿宋" w:eastAsia="仿宋" w:cs="仿宋"/>
          <w:spacing w:val="-1"/>
          <w:sz w:val="24"/>
          <w:szCs w:val="24"/>
          <w:u w:val="none" w:color="auto"/>
        </w:rPr>
      </w:pPr>
      <w:r>
        <w:rPr>
          <w:rFonts w:hint="eastAsia" w:ascii="仿宋" w:hAnsi="仿宋" w:eastAsia="仿宋" w:cs="仿宋"/>
          <w:spacing w:val="-1"/>
          <w:sz w:val="24"/>
          <w:szCs w:val="24"/>
          <w:u w:val="none" w:color="auto"/>
          <w:lang w:val="en-US" w:eastAsia="zh-CN"/>
        </w:rPr>
        <w:t>（四）</w:t>
      </w:r>
      <w:r>
        <w:rPr>
          <w:rFonts w:hint="eastAsia" w:ascii="仿宋" w:hAnsi="仿宋" w:eastAsia="仿宋" w:cs="仿宋"/>
          <w:spacing w:val="-1"/>
          <w:sz w:val="24"/>
          <w:szCs w:val="24"/>
          <w:u w:val="none" w:color="auto"/>
        </w:rPr>
        <w:t>管理人退还的保证金以本金为限，不计利息。</w:t>
      </w:r>
    </w:p>
    <w:p w14:paraId="14C556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74" w:firstLineChars="200"/>
        <w:textAlignment w:val="baseline"/>
        <w:outlineLvl w:val="1"/>
        <w:rPr>
          <w:rFonts w:hint="eastAsia" w:ascii="仿宋" w:hAnsi="仿宋" w:eastAsia="仿宋" w:cs="仿宋"/>
          <w:b/>
          <w:bCs/>
          <w:sz w:val="24"/>
          <w:szCs w:val="24"/>
          <w:u w:val="none" w:color="auto"/>
        </w:rPr>
      </w:pPr>
      <w:r>
        <w:rPr>
          <w:rFonts w:hint="eastAsia" w:ascii="仿宋" w:hAnsi="仿宋" w:eastAsia="仿宋" w:cs="仿宋"/>
          <w:b/>
          <w:bCs/>
          <w:spacing w:val="-2"/>
          <w:sz w:val="24"/>
          <w:szCs w:val="24"/>
          <w:u w:val="none" w:color="auto"/>
          <w:lang w:val="en-US" w:eastAsia="zh-CN"/>
        </w:rPr>
        <w:t>七</w:t>
      </w:r>
      <w:r>
        <w:rPr>
          <w:rFonts w:hint="eastAsia" w:ascii="仿宋" w:hAnsi="仿宋" w:eastAsia="仿宋" w:cs="仿宋"/>
          <w:b/>
          <w:bCs/>
          <w:spacing w:val="-2"/>
          <w:sz w:val="24"/>
          <w:szCs w:val="24"/>
          <w:u w:val="none" w:color="auto"/>
        </w:rPr>
        <w:t>、其他事项</w:t>
      </w:r>
    </w:p>
    <w:p w14:paraId="199034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u w:val="none" w:color="auto"/>
          <w:lang w:eastAsia="zh-CN"/>
        </w:rPr>
        <w:t>（</w:t>
      </w:r>
      <w:r>
        <w:rPr>
          <w:rFonts w:hint="eastAsia" w:ascii="仿宋" w:hAnsi="仿宋" w:eastAsia="仿宋" w:cs="仿宋"/>
          <w:spacing w:val="-1"/>
          <w:sz w:val="24"/>
          <w:szCs w:val="24"/>
          <w:u w:val="none" w:color="auto"/>
          <w:lang w:val="en-US" w:eastAsia="zh-CN"/>
        </w:rPr>
        <w:t>一</w:t>
      </w:r>
      <w:r>
        <w:rPr>
          <w:rFonts w:hint="eastAsia" w:ascii="仿宋" w:hAnsi="仿宋" w:eastAsia="仿宋" w:cs="仿宋"/>
          <w:spacing w:val="-1"/>
          <w:sz w:val="24"/>
          <w:szCs w:val="24"/>
          <w:u w:val="none" w:color="auto"/>
          <w:lang w:eastAsia="zh-CN"/>
        </w:rPr>
        <w:t>）意向重整投资人</w:t>
      </w:r>
      <w:r>
        <w:rPr>
          <w:rFonts w:hint="eastAsia" w:ascii="仿宋" w:hAnsi="仿宋" w:eastAsia="仿宋" w:cs="仿宋"/>
          <w:spacing w:val="-1"/>
          <w:sz w:val="24"/>
          <w:szCs w:val="24"/>
          <w:u w:val="none" w:color="auto"/>
        </w:rPr>
        <w:t>在参与本案重整过程中获悉的商业秘密应</w:t>
      </w:r>
      <w:r>
        <w:rPr>
          <w:rFonts w:hint="eastAsia" w:ascii="仿宋" w:hAnsi="仿宋" w:eastAsia="仿宋" w:cs="仿宋"/>
          <w:spacing w:val="-1"/>
          <w:sz w:val="24"/>
          <w:szCs w:val="24"/>
          <w:u w:val="none" w:color="auto"/>
          <w:lang w:eastAsia="zh-CN"/>
        </w:rPr>
        <w:t>予以</w:t>
      </w:r>
      <w:r>
        <w:rPr>
          <w:rFonts w:hint="eastAsia" w:ascii="仿宋" w:hAnsi="仿宋" w:eastAsia="仿宋" w:cs="仿宋"/>
          <w:spacing w:val="-1"/>
          <w:sz w:val="24"/>
          <w:szCs w:val="24"/>
          <w:u w:val="none" w:color="auto"/>
        </w:rPr>
        <w:t>保密</w:t>
      </w:r>
      <w:r>
        <w:rPr>
          <w:rFonts w:hint="eastAsia" w:ascii="仿宋" w:hAnsi="仿宋" w:eastAsia="仿宋" w:cs="仿宋"/>
          <w:spacing w:val="-1"/>
          <w:sz w:val="24"/>
          <w:szCs w:val="24"/>
          <w:u w:val="none" w:color="auto"/>
          <w:lang w:eastAsia="zh-CN"/>
        </w:rPr>
        <w:t>，</w:t>
      </w:r>
      <w:r>
        <w:rPr>
          <w:rFonts w:hint="eastAsia" w:ascii="仿宋" w:hAnsi="仿宋" w:eastAsia="仿宋" w:cs="仿宋"/>
          <w:spacing w:val="-1"/>
          <w:sz w:val="24"/>
          <w:szCs w:val="24"/>
          <w:u w:val="none" w:color="auto"/>
        </w:rPr>
        <w:t>不得向任何第三方泄露或</w:t>
      </w:r>
      <w:r>
        <w:rPr>
          <w:rFonts w:hint="eastAsia" w:ascii="仿宋" w:hAnsi="仿宋" w:eastAsia="仿宋" w:cs="仿宋"/>
          <w:spacing w:val="-2"/>
          <w:sz w:val="24"/>
          <w:szCs w:val="24"/>
          <w:u w:val="none" w:color="auto"/>
        </w:rPr>
        <w:t>自行</w:t>
      </w:r>
      <w:r>
        <w:rPr>
          <w:rFonts w:hint="eastAsia" w:ascii="仿宋" w:hAnsi="仿宋" w:eastAsia="仿宋" w:cs="仿宋"/>
          <w:spacing w:val="-3"/>
          <w:sz w:val="24"/>
          <w:szCs w:val="24"/>
          <w:u w:val="none" w:color="auto"/>
        </w:rPr>
        <w:t>利用，</w:t>
      </w:r>
      <w:r>
        <w:rPr>
          <w:rFonts w:hint="eastAsia" w:ascii="仿宋" w:hAnsi="仿宋" w:eastAsia="仿宋" w:cs="仿宋"/>
          <w:spacing w:val="-3"/>
          <w:sz w:val="24"/>
          <w:szCs w:val="24"/>
        </w:rPr>
        <w:t>否则应承担相应的违约或侵权责任。</w:t>
      </w:r>
    </w:p>
    <w:p w14:paraId="0DD6E6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二</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管理人有权视情况决定是否延长招募期限，如</w:t>
      </w:r>
      <w:r>
        <w:rPr>
          <w:rFonts w:hint="eastAsia" w:ascii="仿宋" w:hAnsi="仿宋" w:eastAsia="仿宋" w:cs="仿宋"/>
          <w:spacing w:val="-2"/>
          <w:sz w:val="24"/>
          <w:szCs w:val="24"/>
        </w:rPr>
        <w:t>需延长的，将另行公告。</w:t>
      </w:r>
    </w:p>
    <w:p w14:paraId="47BA4E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outlineLvl w:val="1"/>
        <w:rPr>
          <w:rFonts w:hint="eastAsia" w:ascii="仿宋" w:hAnsi="仿宋" w:eastAsia="仿宋" w:cs="仿宋"/>
          <w:b/>
          <w:bCs/>
          <w:sz w:val="24"/>
          <w:szCs w:val="24"/>
        </w:rPr>
      </w:pPr>
      <w:r>
        <w:rPr>
          <w:rFonts w:hint="eastAsia" w:ascii="仿宋" w:hAnsi="仿宋" w:eastAsia="仿宋" w:cs="仿宋"/>
          <w:b/>
          <w:bCs/>
          <w:spacing w:val="-2"/>
          <w:sz w:val="24"/>
          <w:szCs w:val="24"/>
        </w:rPr>
        <w:t>八、再次申明</w:t>
      </w:r>
    </w:p>
    <w:p w14:paraId="6E1763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lang w:eastAsia="zh-CN"/>
        </w:rPr>
        <w:t>（一）</w:t>
      </w:r>
      <w:r>
        <w:rPr>
          <w:rFonts w:hint="eastAsia" w:ascii="仿宋" w:hAnsi="仿宋" w:eastAsia="仿宋" w:cs="仿宋"/>
          <w:sz w:val="24"/>
          <w:szCs w:val="24"/>
        </w:rPr>
        <w:t>本公告内容对全体意向投资人同等适用，但并非要约文件，不具有重整投资协议的约束性效力。</w:t>
      </w:r>
    </w:p>
    <w:p w14:paraId="57E993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报名人（</w:t>
      </w:r>
      <w:r>
        <w:rPr>
          <w:rFonts w:hint="eastAsia" w:ascii="仿宋" w:hAnsi="仿宋" w:eastAsia="仿宋" w:cs="仿宋"/>
          <w:sz w:val="24"/>
          <w:szCs w:val="24"/>
          <w:lang w:eastAsia="zh-CN"/>
        </w:rPr>
        <w:t>意向重整投资人</w:t>
      </w:r>
      <w:r>
        <w:rPr>
          <w:rFonts w:hint="eastAsia" w:ascii="仿宋" w:hAnsi="仿宋" w:eastAsia="仿宋" w:cs="仿宋"/>
          <w:sz w:val="24"/>
          <w:szCs w:val="24"/>
        </w:rPr>
        <w:t>）缴纳保证金和报名材料，视为同</w:t>
      </w:r>
      <w:r>
        <w:rPr>
          <w:rFonts w:hint="eastAsia" w:ascii="仿宋" w:hAnsi="仿宋" w:eastAsia="仿宋" w:cs="仿宋"/>
          <w:spacing w:val="-1"/>
          <w:sz w:val="24"/>
          <w:szCs w:val="24"/>
        </w:rPr>
        <w:t>意按</w:t>
      </w:r>
      <w:r>
        <w:rPr>
          <w:rFonts w:hint="eastAsia" w:ascii="仿宋" w:hAnsi="仿宋" w:eastAsia="仿宋" w:cs="仿宋"/>
          <w:spacing w:val="-1"/>
          <w:sz w:val="24"/>
          <w:szCs w:val="24"/>
          <w:lang w:eastAsia="zh-CN"/>
        </w:rPr>
        <w:t>华尔达公司</w:t>
      </w:r>
      <w:r>
        <w:rPr>
          <w:rFonts w:hint="eastAsia" w:ascii="仿宋" w:hAnsi="仿宋" w:eastAsia="仿宋" w:cs="仿宋"/>
          <w:spacing w:val="-1"/>
          <w:sz w:val="24"/>
          <w:szCs w:val="24"/>
        </w:rPr>
        <w:t>现状进行投资，相关投资风</w:t>
      </w:r>
      <w:r>
        <w:rPr>
          <w:rFonts w:hint="eastAsia" w:ascii="仿宋" w:hAnsi="仿宋" w:eastAsia="仿宋" w:cs="仿宋"/>
          <w:sz w:val="24"/>
          <w:szCs w:val="24"/>
        </w:rPr>
        <w:t>险自行承担，一切风险与</w:t>
      </w:r>
      <w:r>
        <w:rPr>
          <w:rFonts w:hint="eastAsia" w:ascii="仿宋" w:hAnsi="仿宋" w:eastAsia="仿宋" w:cs="仿宋"/>
          <w:sz w:val="24"/>
          <w:szCs w:val="24"/>
          <w:lang w:eastAsia="zh-CN"/>
        </w:rPr>
        <w:t>华尔达公司</w:t>
      </w:r>
      <w:r>
        <w:rPr>
          <w:rFonts w:hint="eastAsia" w:ascii="仿宋" w:hAnsi="仿宋" w:eastAsia="仿宋" w:cs="仿宋"/>
          <w:sz w:val="24"/>
          <w:szCs w:val="24"/>
        </w:rPr>
        <w:t>和管理人无关</w:t>
      </w:r>
      <w:r>
        <w:rPr>
          <w:rFonts w:hint="eastAsia" w:ascii="仿宋" w:hAnsi="仿宋" w:eastAsia="仿宋" w:cs="仿宋"/>
          <w:sz w:val="24"/>
          <w:szCs w:val="24"/>
          <w:lang w:eastAsia="zh-CN"/>
        </w:rPr>
        <w:t>。</w:t>
      </w:r>
      <w:r>
        <w:rPr>
          <w:rFonts w:hint="eastAsia" w:ascii="仿宋" w:hAnsi="仿宋" w:eastAsia="仿宋" w:cs="仿宋"/>
          <w:sz w:val="24"/>
          <w:szCs w:val="24"/>
        </w:rPr>
        <w:t>招募人对</w:t>
      </w:r>
      <w:r>
        <w:rPr>
          <w:rFonts w:hint="eastAsia" w:ascii="仿宋" w:hAnsi="仿宋" w:eastAsia="仿宋" w:cs="仿宋"/>
          <w:spacing w:val="-1"/>
          <w:sz w:val="24"/>
          <w:szCs w:val="24"/>
        </w:rPr>
        <w:t>招募过程中披露的数据不进行承诺，如最</w:t>
      </w:r>
      <w:r>
        <w:rPr>
          <w:rFonts w:hint="eastAsia" w:ascii="仿宋" w:hAnsi="仿宋" w:eastAsia="仿宋" w:cs="仿宋"/>
          <w:sz w:val="24"/>
          <w:szCs w:val="24"/>
        </w:rPr>
        <w:t>终评估数据和上述披露数据存在差距</w:t>
      </w:r>
      <w:r>
        <w:rPr>
          <w:rFonts w:hint="eastAsia" w:ascii="仿宋" w:hAnsi="仿宋" w:eastAsia="仿宋" w:cs="仿宋"/>
          <w:sz w:val="24"/>
          <w:szCs w:val="24"/>
          <w:lang w:eastAsia="zh-CN"/>
        </w:rPr>
        <w:t>，</w:t>
      </w:r>
      <w:r>
        <w:rPr>
          <w:rFonts w:hint="eastAsia" w:ascii="仿宋" w:hAnsi="仿宋" w:eastAsia="仿宋" w:cs="仿宋"/>
          <w:sz w:val="24"/>
          <w:szCs w:val="24"/>
        </w:rPr>
        <w:t>不得主张投标无效</w:t>
      </w:r>
      <w:r>
        <w:rPr>
          <w:rFonts w:hint="eastAsia" w:ascii="仿宋" w:hAnsi="仿宋" w:eastAsia="仿宋" w:cs="仿宋"/>
          <w:spacing w:val="-1"/>
          <w:sz w:val="24"/>
          <w:szCs w:val="24"/>
        </w:rPr>
        <w:t>及追究管理人责任。请</w:t>
      </w:r>
      <w:r>
        <w:rPr>
          <w:rFonts w:hint="eastAsia" w:ascii="仿宋" w:hAnsi="仿宋" w:eastAsia="仿宋" w:cs="仿宋"/>
          <w:spacing w:val="-1"/>
          <w:sz w:val="24"/>
          <w:szCs w:val="24"/>
          <w:lang w:eastAsia="zh-CN"/>
        </w:rPr>
        <w:t>意向重整投资人在</w:t>
      </w:r>
      <w:r>
        <w:rPr>
          <w:rFonts w:hint="eastAsia" w:ascii="仿宋" w:hAnsi="仿宋" w:eastAsia="仿宋" w:cs="仿宋"/>
          <w:spacing w:val="-1"/>
          <w:sz w:val="24"/>
          <w:szCs w:val="24"/>
        </w:rPr>
        <w:t>确定报</w:t>
      </w:r>
      <w:r>
        <w:rPr>
          <w:rFonts w:hint="eastAsia" w:ascii="仿宋" w:hAnsi="仿宋" w:eastAsia="仿宋" w:cs="仿宋"/>
          <w:spacing w:val="-4"/>
          <w:sz w:val="24"/>
          <w:szCs w:val="24"/>
        </w:rPr>
        <w:t>名前进行详细调查与审慎评估。</w:t>
      </w:r>
    </w:p>
    <w:p w14:paraId="561CB3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本公告所述信息仅供</w:t>
      </w:r>
      <w:r>
        <w:rPr>
          <w:rFonts w:hint="eastAsia" w:ascii="仿宋" w:hAnsi="仿宋" w:eastAsia="仿宋" w:cs="仿宋"/>
          <w:sz w:val="24"/>
          <w:szCs w:val="24"/>
          <w:lang w:eastAsia="zh-CN"/>
        </w:rPr>
        <w:t>意向重整投资人</w:t>
      </w:r>
      <w:r>
        <w:rPr>
          <w:rFonts w:hint="eastAsia" w:ascii="仿宋" w:hAnsi="仿宋" w:eastAsia="仿宋" w:cs="仿宋"/>
          <w:sz w:val="24"/>
          <w:szCs w:val="24"/>
        </w:rPr>
        <w:t>参考，并不替代</w:t>
      </w:r>
      <w:r>
        <w:rPr>
          <w:rFonts w:hint="eastAsia" w:ascii="仿宋" w:hAnsi="仿宋" w:eastAsia="仿宋" w:cs="仿宋"/>
          <w:sz w:val="24"/>
          <w:szCs w:val="24"/>
          <w:lang w:eastAsia="zh-CN"/>
        </w:rPr>
        <w:t>意向重整投资人</w:t>
      </w:r>
      <w:r>
        <w:rPr>
          <w:rFonts w:hint="eastAsia" w:ascii="仿宋" w:hAnsi="仿宋" w:eastAsia="仿宋" w:cs="仿宋"/>
          <w:sz w:val="24"/>
          <w:szCs w:val="24"/>
        </w:rPr>
        <w:t>尽职调查</w:t>
      </w:r>
      <w:r>
        <w:rPr>
          <w:rFonts w:hint="eastAsia" w:ascii="仿宋" w:hAnsi="仿宋" w:eastAsia="仿宋" w:cs="仿宋"/>
          <w:sz w:val="24"/>
          <w:szCs w:val="24"/>
          <w:lang w:eastAsia="zh-CN"/>
        </w:rPr>
        <w:t>，</w:t>
      </w:r>
      <w:r>
        <w:rPr>
          <w:rFonts w:hint="eastAsia" w:ascii="仿宋" w:hAnsi="仿宋" w:eastAsia="仿宋" w:cs="仿宋"/>
          <w:sz w:val="24"/>
          <w:szCs w:val="24"/>
        </w:rPr>
        <w:t>管理人不承担任何保证责任和瑕疵担保责任。</w:t>
      </w:r>
      <w:r>
        <w:rPr>
          <w:rFonts w:hint="eastAsia" w:ascii="仿宋" w:hAnsi="仿宋" w:eastAsia="仿宋" w:cs="仿宋"/>
          <w:sz w:val="24"/>
          <w:szCs w:val="24"/>
          <w:lang w:eastAsia="zh-CN"/>
        </w:rPr>
        <w:t>意向重整投资人</w:t>
      </w:r>
      <w:r>
        <w:rPr>
          <w:rFonts w:hint="eastAsia" w:ascii="仿宋" w:hAnsi="仿宋" w:eastAsia="仿宋" w:cs="仿宋"/>
          <w:sz w:val="24"/>
          <w:szCs w:val="24"/>
        </w:rPr>
        <w:t>如需了解</w:t>
      </w:r>
      <w:r>
        <w:rPr>
          <w:rFonts w:hint="eastAsia" w:ascii="仿宋" w:hAnsi="仿宋" w:eastAsia="仿宋" w:cs="仿宋"/>
          <w:sz w:val="24"/>
          <w:szCs w:val="24"/>
          <w:lang w:eastAsia="zh-CN"/>
        </w:rPr>
        <w:t>华尔达公司</w:t>
      </w:r>
      <w:r>
        <w:rPr>
          <w:rFonts w:hint="eastAsia" w:ascii="仿宋" w:hAnsi="仿宋" w:eastAsia="仿宋" w:cs="仿宋"/>
          <w:sz w:val="24"/>
          <w:szCs w:val="24"/>
        </w:rPr>
        <w:t>资产</w:t>
      </w:r>
      <w:r>
        <w:rPr>
          <w:rFonts w:hint="eastAsia" w:ascii="仿宋" w:hAnsi="仿宋" w:eastAsia="仿宋" w:cs="仿宋"/>
          <w:sz w:val="24"/>
          <w:szCs w:val="24"/>
          <w:lang w:eastAsia="zh-CN"/>
        </w:rPr>
        <w:t>、</w:t>
      </w:r>
      <w:r>
        <w:rPr>
          <w:rFonts w:hint="eastAsia" w:ascii="仿宋" w:hAnsi="仿宋" w:eastAsia="仿宋" w:cs="仿宋"/>
          <w:sz w:val="24"/>
          <w:szCs w:val="24"/>
        </w:rPr>
        <w:t>负债等详细情况的，</w:t>
      </w:r>
      <w:r>
        <w:rPr>
          <w:rFonts w:hint="eastAsia" w:ascii="仿宋" w:hAnsi="仿宋" w:eastAsia="仿宋" w:cs="仿宋"/>
          <w:sz w:val="24"/>
          <w:szCs w:val="24"/>
          <w:lang w:eastAsia="zh-CN"/>
        </w:rPr>
        <w:t>意向重整投资人</w:t>
      </w:r>
      <w:r>
        <w:rPr>
          <w:rFonts w:hint="eastAsia" w:ascii="仿宋" w:hAnsi="仿宋" w:eastAsia="仿宋" w:cs="仿宋"/>
          <w:sz w:val="24"/>
          <w:szCs w:val="24"/>
        </w:rPr>
        <w:t>可在</w:t>
      </w:r>
      <w:r>
        <w:rPr>
          <w:rFonts w:hint="eastAsia" w:ascii="仿宋" w:hAnsi="仿宋" w:eastAsia="仿宋" w:cs="仿宋"/>
          <w:sz w:val="24"/>
          <w:szCs w:val="24"/>
          <w:lang w:eastAsia="zh-CN"/>
        </w:rPr>
        <w:t>报名</w:t>
      </w:r>
      <w:r>
        <w:rPr>
          <w:rFonts w:hint="eastAsia" w:ascii="仿宋" w:hAnsi="仿宋" w:eastAsia="仿宋" w:cs="仿宋"/>
          <w:sz w:val="24"/>
          <w:szCs w:val="24"/>
        </w:rPr>
        <w:t>文件提交时间截止前自行对</w:t>
      </w:r>
      <w:r>
        <w:rPr>
          <w:rFonts w:hint="eastAsia" w:ascii="仿宋" w:hAnsi="仿宋" w:eastAsia="仿宋" w:cs="仿宋"/>
          <w:sz w:val="24"/>
          <w:szCs w:val="24"/>
          <w:lang w:val="en-US" w:eastAsia="zh-CN"/>
        </w:rPr>
        <w:t>华尔达</w:t>
      </w:r>
      <w:r>
        <w:rPr>
          <w:rFonts w:hint="eastAsia" w:ascii="仿宋" w:hAnsi="仿宋" w:eastAsia="仿宋" w:cs="仿宋"/>
          <w:sz w:val="24"/>
          <w:szCs w:val="24"/>
        </w:rPr>
        <w:t>公司完成尽职调查，但需要管理人配合尽职调查的需提前3</w:t>
      </w:r>
      <w:r>
        <w:rPr>
          <w:rFonts w:hint="eastAsia" w:ascii="仿宋" w:hAnsi="仿宋" w:eastAsia="仿宋" w:cs="仿宋"/>
          <w:sz w:val="24"/>
          <w:szCs w:val="24"/>
          <w:lang w:eastAsia="zh-CN"/>
        </w:rPr>
        <w:t>个</w:t>
      </w:r>
      <w:r>
        <w:rPr>
          <w:rFonts w:hint="eastAsia" w:ascii="仿宋" w:hAnsi="仿宋" w:eastAsia="仿宋" w:cs="仿宋"/>
          <w:sz w:val="24"/>
          <w:szCs w:val="24"/>
          <w:lang w:val="en-US" w:eastAsia="zh-CN"/>
        </w:rPr>
        <w:t>工作</w:t>
      </w:r>
      <w:r>
        <w:rPr>
          <w:rFonts w:hint="eastAsia" w:ascii="仿宋" w:hAnsi="仿宋" w:eastAsia="仿宋" w:cs="仿宋"/>
          <w:sz w:val="24"/>
          <w:szCs w:val="24"/>
        </w:rPr>
        <w:t>日通知，管理人将予以配合提供。</w:t>
      </w:r>
    </w:p>
    <w:p w14:paraId="36EA94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（四）</w:t>
      </w:r>
      <w:r>
        <w:rPr>
          <w:rFonts w:hint="eastAsia" w:ascii="仿宋" w:hAnsi="仿宋" w:eastAsia="仿宋" w:cs="仿宋"/>
          <w:sz w:val="24"/>
          <w:szCs w:val="24"/>
        </w:rPr>
        <w:t>本公告编制、解释权归管理人。管理人有权根据重整进展合理调整  招募进度，管理人可以中止、撤回或增加招募计划，不需要承担违约赔偿责任</w:t>
      </w:r>
      <w:r>
        <w:rPr>
          <w:rFonts w:hint="eastAsia" w:ascii="仿宋" w:hAnsi="仿宋" w:eastAsia="仿宋" w:cs="仿宋"/>
          <w:sz w:val="24"/>
          <w:szCs w:val="24"/>
          <w:lang w:eastAsia="zh-CN"/>
        </w:rPr>
        <w:t>。</w:t>
      </w:r>
    </w:p>
    <w:p w14:paraId="51ED7E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lang w:val="en-US" w:eastAsia="zh-CN"/>
        </w:rPr>
        <w:t>东莞中院</w:t>
      </w:r>
      <w:r>
        <w:rPr>
          <w:rFonts w:hint="eastAsia" w:ascii="仿宋" w:hAnsi="仿宋" w:eastAsia="仿宋" w:cs="仿宋"/>
          <w:sz w:val="24"/>
          <w:szCs w:val="24"/>
        </w:rPr>
        <w:t>尚未正式裁定</w:t>
      </w:r>
      <w:r>
        <w:rPr>
          <w:rFonts w:hint="eastAsia" w:ascii="仿宋" w:hAnsi="仿宋" w:eastAsia="仿宋" w:cs="仿宋"/>
          <w:sz w:val="24"/>
          <w:szCs w:val="24"/>
          <w:lang w:eastAsia="zh-CN"/>
        </w:rPr>
        <w:t>华尔达公司</w:t>
      </w:r>
      <w:r>
        <w:rPr>
          <w:rFonts w:hint="eastAsia" w:ascii="仿宋" w:hAnsi="仿宋" w:eastAsia="仿宋" w:cs="仿宋"/>
          <w:sz w:val="24"/>
          <w:szCs w:val="24"/>
        </w:rPr>
        <w:t>破产重整，本次招募为预招募。</w:t>
      </w:r>
      <w:r>
        <w:rPr>
          <w:rFonts w:hint="eastAsia" w:ascii="仿宋" w:hAnsi="仿宋" w:eastAsia="仿宋" w:cs="仿宋"/>
          <w:sz w:val="24"/>
          <w:szCs w:val="24"/>
          <w:lang w:eastAsia="zh-CN"/>
        </w:rPr>
        <w:t>华尔达公司</w:t>
      </w:r>
      <w:r>
        <w:rPr>
          <w:rFonts w:hint="eastAsia" w:ascii="仿宋" w:hAnsi="仿宋" w:eastAsia="仿宋" w:cs="仿宋"/>
          <w:sz w:val="24"/>
          <w:szCs w:val="24"/>
        </w:rPr>
        <w:t>能否进入破产重整程序尚存在不确定性，本预招募公告不代表任何相关方对</w:t>
      </w:r>
      <w:r>
        <w:rPr>
          <w:rFonts w:hint="eastAsia" w:ascii="仿宋" w:hAnsi="仿宋" w:eastAsia="仿宋" w:cs="仿宋"/>
          <w:sz w:val="24"/>
          <w:szCs w:val="24"/>
          <w:lang w:eastAsia="zh-CN"/>
        </w:rPr>
        <w:t>华尔达公司</w:t>
      </w:r>
      <w:r>
        <w:rPr>
          <w:rFonts w:hint="eastAsia" w:ascii="仿宋" w:hAnsi="仿宋" w:eastAsia="仿宋" w:cs="仿宋"/>
          <w:sz w:val="24"/>
          <w:szCs w:val="24"/>
        </w:rPr>
        <w:t>后续进入破产重整程序的承诺或默认。如法院正式裁定批准</w:t>
      </w:r>
      <w:r>
        <w:rPr>
          <w:rFonts w:hint="eastAsia" w:ascii="仿宋" w:hAnsi="仿宋" w:eastAsia="仿宋" w:cs="仿宋"/>
          <w:sz w:val="24"/>
          <w:szCs w:val="24"/>
          <w:lang w:eastAsia="zh-CN"/>
        </w:rPr>
        <w:t>华尔达公司</w:t>
      </w:r>
      <w:r>
        <w:rPr>
          <w:rFonts w:hint="eastAsia" w:ascii="仿宋" w:hAnsi="仿宋" w:eastAsia="仿宋" w:cs="仿宋"/>
          <w:sz w:val="24"/>
          <w:szCs w:val="24"/>
        </w:rPr>
        <w:t>破产重整，将不再另行招募。如法院未能批准</w:t>
      </w:r>
      <w:r>
        <w:rPr>
          <w:rFonts w:hint="eastAsia" w:ascii="仿宋" w:hAnsi="仿宋" w:eastAsia="仿宋" w:cs="仿宋"/>
          <w:sz w:val="24"/>
          <w:szCs w:val="24"/>
          <w:lang w:eastAsia="zh-CN"/>
        </w:rPr>
        <w:t>华尔达公司</w:t>
      </w:r>
      <w:r>
        <w:rPr>
          <w:rFonts w:hint="eastAsia" w:ascii="仿宋" w:hAnsi="仿宋" w:eastAsia="仿宋" w:cs="仿宋"/>
          <w:sz w:val="24"/>
          <w:szCs w:val="24"/>
        </w:rPr>
        <w:t>破产重整，管理人将撤回本次招募，已提交重整保证金的，将</w:t>
      </w:r>
      <w:r>
        <w:rPr>
          <w:rFonts w:hint="eastAsia" w:ascii="仿宋" w:hAnsi="仿宋" w:eastAsia="仿宋" w:cs="仿宋"/>
          <w:sz w:val="24"/>
          <w:szCs w:val="24"/>
          <w:lang w:val="en-US" w:eastAsia="zh-CN"/>
        </w:rPr>
        <w:t>无息</w:t>
      </w:r>
      <w:r>
        <w:rPr>
          <w:rFonts w:hint="eastAsia" w:ascii="仿宋" w:hAnsi="仿宋" w:eastAsia="仿宋" w:cs="仿宋"/>
          <w:sz w:val="24"/>
          <w:szCs w:val="24"/>
        </w:rPr>
        <w:t>原路退还投资人。</w:t>
      </w:r>
    </w:p>
    <w:p w14:paraId="24717F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仿宋" w:hAnsi="仿宋" w:eastAsia="仿宋" w:cs="仿宋"/>
          <w:sz w:val="21"/>
        </w:rPr>
      </w:pPr>
      <w:r>
        <w:rPr>
          <w:rFonts w:hint="eastAsia" w:ascii="仿宋" w:hAnsi="仿宋" w:eastAsia="仿宋" w:cs="仿宋"/>
          <w:spacing w:val="-8"/>
          <w:sz w:val="24"/>
          <w:szCs w:val="24"/>
        </w:rPr>
        <w:t>特此公告。</w:t>
      </w:r>
    </w:p>
    <w:p w14:paraId="03C436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仿宋" w:hAnsi="仿宋" w:eastAsia="仿宋" w:cs="仿宋"/>
          <w:sz w:val="21"/>
        </w:rPr>
      </w:pPr>
    </w:p>
    <w:p w14:paraId="415109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right"/>
        <w:textAlignment w:val="baseline"/>
        <w:rPr>
          <w:rFonts w:hint="eastAsia" w:ascii="仿宋" w:hAnsi="仿宋" w:eastAsia="仿宋" w:cs="仿宋"/>
          <w:sz w:val="24"/>
          <w:szCs w:val="24"/>
        </w:rPr>
      </w:pPr>
      <w:r>
        <w:rPr>
          <w:rFonts w:hint="eastAsia" w:ascii="仿宋" w:hAnsi="仿宋" w:eastAsia="仿宋" w:cs="仿宋"/>
          <w:spacing w:val="-1"/>
          <w:sz w:val="24"/>
          <w:szCs w:val="24"/>
          <w:lang w:eastAsia="zh-CN"/>
        </w:rPr>
        <w:t>东莞市华尔达企业管理咨询有限公司</w:t>
      </w:r>
      <w:r>
        <w:rPr>
          <w:rFonts w:hint="eastAsia" w:ascii="仿宋" w:hAnsi="仿宋" w:eastAsia="仿宋" w:cs="仿宋"/>
          <w:spacing w:val="-1"/>
          <w:sz w:val="24"/>
          <w:szCs w:val="24"/>
        </w:rPr>
        <w:t>管理人</w:t>
      </w:r>
    </w:p>
    <w:p w14:paraId="75FB7D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jc w:val="right"/>
        <w:textAlignment w:val="baseline"/>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二〇二</w:t>
      </w:r>
      <w:r>
        <w:rPr>
          <w:rFonts w:hint="eastAsia" w:ascii="仿宋" w:hAnsi="仿宋" w:eastAsia="仿宋" w:cs="仿宋"/>
          <w:color w:val="0000FF"/>
          <w:sz w:val="24"/>
          <w:szCs w:val="24"/>
          <w:lang w:val="en-US" w:eastAsia="zh-CN"/>
        </w:rPr>
        <w:t>六</w:t>
      </w:r>
      <w:r>
        <w:rPr>
          <w:rFonts w:hint="eastAsia" w:ascii="仿宋" w:hAnsi="仿宋" w:eastAsia="仿宋" w:cs="仿宋"/>
          <w:color w:val="0000FF"/>
          <w:sz w:val="24"/>
          <w:szCs w:val="24"/>
          <w:lang w:eastAsia="zh-CN"/>
        </w:rPr>
        <w:t>年</w:t>
      </w:r>
      <w:r>
        <w:rPr>
          <w:rFonts w:hint="eastAsia" w:ascii="仿宋" w:hAnsi="仿宋" w:eastAsia="仿宋" w:cs="仿宋"/>
          <w:color w:val="0000FF"/>
          <w:sz w:val="24"/>
          <w:szCs w:val="24"/>
          <w:lang w:val="en-US" w:eastAsia="zh-CN"/>
        </w:rPr>
        <w:t>六</w:t>
      </w:r>
      <w:r>
        <w:rPr>
          <w:rFonts w:hint="eastAsia" w:ascii="仿宋" w:hAnsi="仿宋" w:eastAsia="仿宋" w:cs="仿宋"/>
          <w:color w:val="0000FF"/>
          <w:sz w:val="24"/>
          <w:szCs w:val="24"/>
          <w:lang w:eastAsia="zh-CN"/>
        </w:rPr>
        <w:t>月</w:t>
      </w:r>
      <w:r>
        <w:rPr>
          <w:rFonts w:hint="eastAsia" w:ascii="仿宋" w:hAnsi="仿宋" w:eastAsia="仿宋" w:cs="仿宋"/>
          <w:color w:val="0000FF"/>
          <w:sz w:val="24"/>
          <w:szCs w:val="24"/>
          <w:lang w:val="en-US" w:eastAsia="zh-CN"/>
        </w:rPr>
        <w:t>十八日</w:t>
      </w:r>
    </w:p>
    <w:sectPr>
      <w:footerReference r:id="rId5" w:type="default"/>
      <w:pgSz w:w="11900" w:h="16839"/>
      <w:pgMar w:top="1440" w:right="1800" w:bottom="1440" w:left="1800" w:header="269" w:footer="27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99A2">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EB4C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1EB4C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C9CC8"/>
    <w:multiLevelType w:val="singleLevel"/>
    <w:tmpl w:val="85BC9CC8"/>
    <w:lvl w:ilvl="0" w:tentative="0">
      <w:start w:val="6"/>
      <w:numFmt w:val="chineseCounting"/>
      <w:suff w:val="nothing"/>
      <w:lvlText w:val="（%1）"/>
      <w:lvlJc w:val="left"/>
      <w:rPr>
        <w:rFonts w:hint="eastAsia"/>
      </w:rPr>
    </w:lvl>
  </w:abstractNum>
  <w:abstractNum w:abstractNumId="1">
    <w:nsid w:val="E236E742"/>
    <w:multiLevelType w:val="singleLevel"/>
    <w:tmpl w:val="E236E742"/>
    <w:lvl w:ilvl="0" w:tentative="0">
      <w:start w:val="5"/>
      <w:numFmt w:val="chineseCounting"/>
      <w:lvlText w:val="(%1)"/>
      <w:lvlJc w:val="left"/>
      <w:pPr>
        <w:tabs>
          <w:tab w:val="left" w:pos="312"/>
        </w:tabs>
      </w:pPr>
      <w:rPr>
        <w:rFonts w:hint="eastAsia"/>
      </w:rPr>
    </w:lvl>
  </w:abstractNum>
  <w:abstractNum w:abstractNumId="2">
    <w:nsid w:val="E98499E4"/>
    <w:multiLevelType w:val="singleLevel"/>
    <w:tmpl w:val="E98499E4"/>
    <w:lvl w:ilvl="0" w:tentative="0">
      <w:start w:val="1"/>
      <w:numFmt w:val="decimal"/>
      <w:suff w:val="nothing"/>
      <w:lvlText w:val="%1."/>
      <w:lvlJc w:val="left"/>
      <w:pPr>
        <w:ind w:left="0" w:firstLine="420"/>
      </w:pPr>
      <w:rPr>
        <w:rFonts w:hint="default"/>
      </w:rPr>
    </w:lvl>
  </w:abstractNum>
  <w:abstractNum w:abstractNumId="3">
    <w:nsid w:val="EA85361C"/>
    <w:multiLevelType w:val="singleLevel"/>
    <w:tmpl w:val="EA85361C"/>
    <w:lvl w:ilvl="0" w:tentative="0">
      <w:start w:val="1"/>
      <w:numFmt w:val="decimal"/>
      <w:suff w:val="nothing"/>
      <w:lvlText w:val="%1."/>
      <w:lvlJc w:val="left"/>
      <w:pPr>
        <w:ind w:left="0" w:firstLine="420"/>
      </w:pPr>
      <w:rPr>
        <w:rFonts w:hint="default"/>
      </w:rPr>
    </w:lvl>
  </w:abstractNum>
  <w:abstractNum w:abstractNumId="4">
    <w:nsid w:val="EB0FA2A8"/>
    <w:multiLevelType w:val="singleLevel"/>
    <w:tmpl w:val="EB0FA2A8"/>
    <w:lvl w:ilvl="0" w:tentative="0">
      <w:start w:val="1"/>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6F5090"/>
    <w:rsid w:val="067649B1"/>
    <w:rsid w:val="087D6520"/>
    <w:rsid w:val="09425F42"/>
    <w:rsid w:val="09970B85"/>
    <w:rsid w:val="22392531"/>
    <w:rsid w:val="337548AF"/>
    <w:rsid w:val="3BD5257D"/>
    <w:rsid w:val="44C42D83"/>
    <w:rsid w:val="461940F5"/>
    <w:rsid w:val="47FF0568"/>
    <w:rsid w:val="4C1C18AE"/>
    <w:rsid w:val="52B508F7"/>
    <w:rsid w:val="53FA6265"/>
    <w:rsid w:val="557F6BB8"/>
    <w:rsid w:val="58253591"/>
    <w:rsid w:val="58BB2198"/>
    <w:rsid w:val="60226804"/>
    <w:rsid w:val="682923CE"/>
    <w:rsid w:val="6DB038A2"/>
    <w:rsid w:val="74D84F11"/>
    <w:rsid w:val="764E6BCF"/>
    <w:rsid w:val="77C438A4"/>
    <w:rsid w:val="7B502A27"/>
    <w:rsid w:val="7D921F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15"/>
      <w:szCs w:val="1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7367f5e7-6d6e-4069-bc4e-618187c0a27e</errorID>
      <errorWord>有限公司（下</errorWord>
      <group>L1_Word</group>
      <groupName>字词问题</groupName>
      <ability>L2_Typo</ability>
      <abilityName>字词错误</abilityName>
      <candidateList>
        <item>有限公司（以下</item>
      </candidateList>
      <explain/>
      <paraID>1D00F3E8</paraID>
      <start>106</start>
      <end>112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76b3b-b9d6-4100-9f06-7d60c014db71}">
  <ds:schemaRefs/>
</ds:datastoreItem>
</file>

<file path=docProps/app.xml><?xml version="1.0" encoding="utf-8"?>
<Properties xmlns="http://schemas.openxmlformats.org/officeDocument/2006/extended-properties" xmlns:vt="http://schemas.openxmlformats.org/officeDocument/2006/docPropsVTypes">
  <Pages>11</Pages>
  <Words>7390</Words>
  <Characters>7760</Characters>
  <TotalTime>54</TotalTime>
  <ScaleCrop>false</ScaleCrop>
  <LinksUpToDate>false</LinksUpToDate>
  <CharactersWithSpaces>7764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2026-04-08T01:42:00Z</dcterms:created>
  <dc:creator>23956</dc:creator>
  <cp:lastModifiedBy>晓韵</cp:lastModifiedBy>
  <cp:lastPrinted>2026-06-17T02:22:00Z</cp:lastPrinted>
  <dcterms:modified xsi:type="dcterms:W3CDTF">2026-06-22T06:57:48Z</dcterms:modified>
  <dc:title>苏州星龙房地产开发有限公司破产重整案重整投资人招募公告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2026-04-08T17:21:20Z</vt:filetime>
  </property>
  <property fmtid="{D5CDD505-2E9C-101B-9397-08002B2CF9AE}" pid="4" name="KSOTemplateDocerSaveRecord">
    <vt:lpwstr>eyJoZGlkIjoiNjBmMTcxYzllNGM0MDYxMzQwNWZiNWU1NWMwMzkzZGQiLCJ1c2VySWQiOiIzMTEzMDMyNTMifQ==</vt:lpwstr>
  </property>
  <property fmtid="{D5CDD505-2E9C-101B-9397-08002B2CF9AE}" pid="5" name="KSOProductBuildVer">
    <vt:lpwstr>2052-12.1.0.26895</vt:lpwstr>
  </property>
  <property fmtid="{D5CDD505-2E9C-101B-9397-08002B2CF9AE}" pid="6" name="ICV">
    <vt:lpwstr>A40F7AEE62C3419EA7A7EB795D52C89D_13</vt:lpwstr>
  </property>
</Properties>
</file>