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CE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shd w:val="clear" w:fill="FFFFFF"/>
          <w:lang w:eastAsia="zh-CN"/>
        </w:rPr>
        <w:t>赛维洗衣服务集团有限公司</w:t>
      </w:r>
      <w:r>
        <w:rPr>
          <w:rFonts w:hint="eastAsia" w:ascii="仿宋" w:hAnsi="仿宋" w:eastAsia="仿宋" w:cs="仿宋"/>
          <w:i w:val="0"/>
          <w:iCs w:val="0"/>
          <w:caps w:val="0"/>
          <w:color w:val="auto"/>
          <w:spacing w:val="0"/>
          <w:sz w:val="28"/>
          <w:szCs w:val="28"/>
          <w:shd w:val="clear" w:fill="FFFFFF"/>
        </w:rPr>
        <w:t>（以下简称债务人）对</w:t>
      </w:r>
      <w:r>
        <w:rPr>
          <w:rFonts w:hint="eastAsia" w:ascii="仿宋" w:hAnsi="仿宋" w:eastAsia="仿宋" w:cs="仿宋"/>
          <w:i w:val="0"/>
          <w:iCs w:val="0"/>
          <w:caps w:val="0"/>
          <w:color w:val="auto"/>
          <w:spacing w:val="0"/>
          <w:sz w:val="28"/>
          <w:szCs w:val="28"/>
          <w:lang w:val="en-US" w:eastAsia="zh-CN"/>
        </w:rPr>
        <w:t>李杰</w:t>
      </w:r>
      <w:r>
        <w:rPr>
          <w:rFonts w:hint="eastAsia" w:ascii="仿宋" w:hAnsi="仿宋" w:eastAsia="仿宋" w:cs="仿宋"/>
          <w:i w:val="0"/>
          <w:iCs w:val="0"/>
          <w:caps w:val="0"/>
          <w:color w:val="auto"/>
          <w:spacing w:val="0"/>
          <w:sz w:val="28"/>
          <w:szCs w:val="28"/>
        </w:rPr>
        <w:t>的债权。</w:t>
      </w:r>
    </w:p>
    <w:p w14:paraId="1040A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lang w:eastAsia="zh-CN"/>
        </w:rPr>
        <w:t>上海铁路运输法院</w:t>
      </w:r>
      <w:r>
        <w:rPr>
          <w:rFonts w:hint="eastAsia" w:ascii="仿宋" w:hAnsi="仿宋" w:eastAsia="仿宋" w:cs="仿宋"/>
          <w:i w:val="0"/>
          <w:iCs w:val="0"/>
          <w:caps w:val="0"/>
          <w:color w:val="auto"/>
          <w:spacing w:val="0"/>
          <w:sz w:val="28"/>
          <w:szCs w:val="28"/>
        </w:rPr>
        <w:t>出具的</w:t>
      </w:r>
      <w:r>
        <w:rPr>
          <w:rFonts w:hint="eastAsia" w:ascii="仿宋" w:hAnsi="仿宋" w:eastAsia="仿宋" w:cs="仿宋"/>
          <w:i w:val="0"/>
          <w:iCs w:val="0"/>
          <w:caps w:val="0"/>
          <w:color w:val="auto"/>
          <w:spacing w:val="0"/>
          <w:sz w:val="28"/>
          <w:szCs w:val="28"/>
          <w:lang w:eastAsia="zh-CN"/>
        </w:rPr>
        <w:t>（2024）沪7101民初213号</w:t>
      </w:r>
      <w:r>
        <w:rPr>
          <w:rFonts w:hint="eastAsia" w:ascii="仿宋" w:hAnsi="仿宋" w:eastAsia="仿宋" w:cs="仿宋"/>
          <w:i w:val="0"/>
          <w:iCs w:val="0"/>
          <w:caps w:val="0"/>
          <w:color w:val="auto"/>
          <w:spacing w:val="0"/>
          <w:sz w:val="28"/>
          <w:szCs w:val="28"/>
        </w:rPr>
        <w:t>民事判决书，判决：一、被告上海点达投资管理有限公司应于本判决生效之日起</w:t>
      </w:r>
    </w:p>
    <w:p w14:paraId="7465F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十日内向原告赛维洗衣服务集团有限公司缴纳出资款71,131,500</w:t>
      </w:r>
    </w:p>
    <w:p w14:paraId="170FD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元；二、被告上海安达利企业管理有限公司应于本判决生效之日起十日内向原告赛维洗衣服务集团有限公司缴纳出资款9,000,000元；三、被告李杰应于本判决生效之日起十日内向原告赛维洗衣服务集团有限公司缴纳出资款4,050,000元。</w:t>
      </w:r>
    </w:p>
    <w:p w14:paraId="4DFDA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如果未按本判决指定的期间履行给付金钱义务，应当依照《中华人民共和国民事诉讼法》第二百六十四条之规定，加倍支付迟延履行期间的债务利息。</w:t>
      </w:r>
    </w:p>
    <w:p w14:paraId="10200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案件受理费462,707.50元，由被告上海点达投资管理有限公司负担390,977.57元，被告上海安达利企业管理有限公司负担49,468.92元，被告李杰负担22,261.01元；公告费400元，由被告上海点达投资管理有限公司、上海安达利企业管理有限公司、</w:t>
      </w:r>
      <w:bookmarkStart w:id="0" w:name="_GoBack"/>
      <w:bookmarkEnd w:id="0"/>
      <w:r>
        <w:rPr>
          <w:rFonts w:hint="eastAsia" w:ascii="仿宋" w:hAnsi="仿宋" w:eastAsia="仿宋" w:cs="仿宋"/>
          <w:i w:val="0"/>
          <w:iCs w:val="0"/>
          <w:caps w:val="0"/>
          <w:color w:val="auto"/>
          <w:spacing w:val="0"/>
          <w:sz w:val="28"/>
          <w:szCs w:val="28"/>
        </w:rPr>
        <w:t>李杰共同负担。</w:t>
      </w:r>
    </w:p>
    <w:p w14:paraId="27A37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sz w:val="28"/>
          <w:szCs w:val="28"/>
        </w:rPr>
        <w:t>因被执行人</w:t>
      </w:r>
      <w:r>
        <w:rPr>
          <w:rFonts w:hint="eastAsia" w:ascii="仿宋" w:hAnsi="仿宋" w:eastAsia="仿宋" w:cs="仿宋"/>
          <w:i w:val="0"/>
          <w:iCs w:val="0"/>
          <w:caps w:val="0"/>
          <w:color w:val="auto"/>
          <w:spacing w:val="0"/>
          <w:sz w:val="28"/>
          <w:szCs w:val="28"/>
          <w:lang w:val="en-US" w:eastAsia="zh-CN"/>
        </w:rPr>
        <w:t>李杰</w:t>
      </w:r>
      <w:r>
        <w:rPr>
          <w:rFonts w:hint="eastAsia" w:ascii="仿宋" w:hAnsi="仿宋" w:eastAsia="仿宋" w:cs="仿宋"/>
          <w:i w:val="0"/>
          <w:iCs w:val="0"/>
          <w:caps w:val="0"/>
          <w:color w:val="auto"/>
          <w:spacing w:val="0"/>
          <w:sz w:val="28"/>
          <w:szCs w:val="28"/>
        </w:rPr>
        <w:t>未履行上述判决义务，管理人依据已经发生法律效力的判决文书</w:t>
      </w:r>
      <w:r>
        <w:rPr>
          <w:rFonts w:hint="eastAsia" w:ascii="仿宋" w:hAnsi="仿宋" w:eastAsia="仿宋" w:cs="仿宋"/>
          <w:i w:val="0"/>
          <w:iCs w:val="0"/>
          <w:caps w:val="0"/>
          <w:color w:val="auto"/>
          <w:spacing w:val="0"/>
          <w:sz w:val="28"/>
          <w:szCs w:val="28"/>
          <w:lang w:val="en-US" w:eastAsia="zh-CN"/>
        </w:rPr>
        <w:t>向法院申请强制执行</w:t>
      </w:r>
      <w:r>
        <w:rPr>
          <w:rFonts w:hint="eastAsia" w:ascii="仿宋" w:hAnsi="仿宋" w:eastAsia="仿宋" w:cs="仿宋"/>
          <w:i w:val="0"/>
          <w:iCs w:val="0"/>
          <w:caps w:val="0"/>
          <w:color w:val="auto"/>
          <w:spacing w:val="0"/>
          <w:sz w:val="28"/>
          <w:szCs w:val="28"/>
        </w:rPr>
        <w:t>，</w:t>
      </w:r>
      <w:r>
        <w:rPr>
          <w:rFonts w:hint="eastAsia" w:ascii="仿宋" w:hAnsi="仿宋" w:eastAsia="仿宋" w:cs="仿宋"/>
          <w:i w:val="0"/>
          <w:iCs w:val="0"/>
          <w:caps w:val="0"/>
          <w:color w:val="auto"/>
          <w:spacing w:val="0"/>
          <w:sz w:val="28"/>
          <w:szCs w:val="28"/>
          <w:lang w:val="en-US" w:eastAsia="zh-CN"/>
        </w:rPr>
        <w:t>上海铁路运输法院</w:t>
      </w:r>
      <w:r>
        <w:rPr>
          <w:rFonts w:hint="eastAsia" w:ascii="仿宋" w:hAnsi="仿宋" w:eastAsia="仿宋" w:cs="仿宋"/>
          <w:i w:val="0"/>
          <w:iCs w:val="0"/>
          <w:caps w:val="0"/>
          <w:color w:val="auto"/>
          <w:spacing w:val="0"/>
          <w:sz w:val="28"/>
          <w:szCs w:val="28"/>
        </w:rPr>
        <w:t>于202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2</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20</w:t>
      </w:r>
      <w:r>
        <w:rPr>
          <w:rFonts w:hint="eastAsia" w:ascii="仿宋" w:hAnsi="仿宋" w:eastAsia="仿宋" w:cs="仿宋"/>
          <w:i w:val="0"/>
          <w:iCs w:val="0"/>
          <w:caps w:val="0"/>
          <w:color w:val="auto"/>
          <w:spacing w:val="0"/>
          <w:sz w:val="28"/>
          <w:szCs w:val="28"/>
        </w:rPr>
        <w:t>日立案</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t>案号为</w:t>
      </w:r>
      <w:r>
        <w:rPr>
          <w:rFonts w:hint="eastAsia" w:ascii="仿宋" w:hAnsi="仿宋" w:eastAsia="仿宋" w:cs="仿宋"/>
          <w:i w:val="0"/>
          <w:iCs w:val="0"/>
          <w:caps w:val="0"/>
          <w:color w:val="auto"/>
          <w:spacing w:val="0"/>
          <w:sz w:val="28"/>
          <w:szCs w:val="28"/>
          <w:lang w:eastAsia="zh-CN"/>
        </w:rPr>
        <w:t>（2025）沪7101执恢25号</w:t>
      </w:r>
      <w:r>
        <w:rPr>
          <w:rFonts w:hint="eastAsia" w:ascii="仿宋" w:hAnsi="仿宋" w:eastAsia="仿宋" w:cs="仿宋"/>
          <w:i w:val="0"/>
          <w:iCs w:val="0"/>
          <w:caps w:val="0"/>
          <w:color w:val="auto"/>
          <w:spacing w:val="0"/>
          <w:sz w:val="28"/>
          <w:szCs w:val="28"/>
        </w:rPr>
        <w:t>。</w:t>
      </w:r>
      <w:r>
        <w:rPr>
          <w:rFonts w:hint="eastAsia" w:ascii="仿宋" w:hAnsi="仿宋" w:eastAsia="仿宋" w:cs="仿宋"/>
          <w:i w:val="0"/>
          <w:iCs w:val="0"/>
          <w:caps w:val="0"/>
          <w:color w:val="auto"/>
          <w:spacing w:val="0"/>
          <w:sz w:val="28"/>
          <w:szCs w:val="28"/>
          <w:lang w:val="en-US" w:eastAsia="zh-CN"/>
        </w:rPr>
        <w:t>执行期间，法院经执行到位李杰2,845.17元。</w:t>
      </w: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5</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10</w:t>
      </w:r>
      <w:r>
        <w:rPr>
          <w:rFonts w:hint="eastAsia" w:ascii="仿宋" w:hAnsi="仿宋" w:eastAsia="仿宋" w:cs="仿宋"/>
          <w:i w:val="0"/>
          <w:iCs w:val="0"/>
          <w:caps w:val="0"/>
          <w:color w:val="auto"/>
          <w:spacing w:val="0"/>
          <w:sz w:val="28"/>
          <w:szCs w:val="28"/>
        </w:rPr>
        <w:t>日，因被执行人暂无其他可供执行的财产，法院裁定终结本次执行程序。</w:t>
      </w:r>
    </w:p>
    <w:p w14:paraId="2C263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标的物特别情况说明：</w:t>
      </w:r>
    </w:p>
    <w:p w14:paraId="3A998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1、管理人除上述</w:t>
      </w:r>
      <w:r>
        <w:rPr>
          <w:rFonts w:hint="eastAsia" w:ascii="仿宋" w:hAnsi="仿宋" w:eastAsia="仿宋" w:cs="仿宋"/>
          <w:b/>
          <w:bCs/>
          <w:i w:val="0"/>
          <w:iCs w:val="0"/>
          <w:caps w:val="0"/>
          <w:color w:val="auto"/>
          <w:spacing w:val="0"/>
          <w:sz w:val="28"/>
          <w:szCs w:val="28"/>
          <w:lang w:val="en-US" w:eastAsia="zh-CN"/>
        </w:rPr>
        <w:t>裁判文书</w:t>
      </w:r>
      <w:r>
        <w:rPr>
          <w:rFonts w:hint="eastAsia" w:ascii="仿宋" w:hAnsi="仿宋" w:eastAsia="仿宋" w:cs="仿宋"/>
          <w:b/>
          <w:bCs/>
          <w:i w:val="0"/>
          <w:iCs w:val="0"/>
          <w:caps w:val="0"/>
          <w:color w:val="auto"/>
          <w:spacing w:val="0"/>
          <w:sz w:val="28"/>
          <w:szCs w:val="28"/>
        </w:rPr>
        <w:t>，无法向买受人移交任何资料。</w:t>
      </w:r>
    </w:p>
    <w:p w14:paraId="7A0755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2、管理人不保证本次出售的或有债权确实成立，上述或有债权有不成立的可能性，买受人应慎重考虑，谨慎参拍。一旦买受人参拍，视为买受人接受该或有债权所有显性或隐性的一切瑕疵。</w:t>
      </w:r>
    </w:p>
    <w:p w14:paraId="7B9C7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3、管理人无法提供记账凭证或者欠费明细等支持性文件，本次拍卖的或有债权可能全部或部分无效、不存在、无法追回、产生损失等，真实性存在瑕疵。</w:t>
      </w:r>
    </w:p>
    <w:p w14:paraId="4F819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4、债权可能已超过诉讼时效、执行时效或丧失相关的法定期间或因其他原因已部分消灭或成为自然债导致存在无法收回的可能，因合同约定、债务人实际已履行等原因已消灭，发票未开，被抵销、撤销以及其他原因或纠纷导致无法收回、产生损失等风险。</w:t>
      </w:r>
    </w:p>
    <w:p w14:paraId="7A9C10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5、债权可能存在不符合约定的付款条件、付款期限未届满、被质押、损害赔偿等违约情形导致债权存在争议、无法收回、产生损失等风险。</w:t>
      </w:r>
    </w:p>
    <w:p w14:paraId="34FAB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6、与债权相关的债务人或担保人或第三方存在破产、被解散、被注销、被撤销、被关闭、被吊销、歇业、下落不明以及其他主体存续性瑕疵的情形，可能无清偿能力，管理人不确定该债权能否收回。</w:t>
      </w:r>
    </w:p>
    <w:p w14:paraId="082D8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7、拍品或有债权可能存在不真实、不完整，债权凭证原件缺失、不存在或内容冲突或导致债权存在争议、无法收回、产生损失等相关情形。</w:t>
      </w:r>
    </w:p>
    <w:p w14:paraId="769AA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8、债权文件可能与债权文件清单记载不一致导致债权存在争议、无法收回、产生损失等风险。</w:t>
      </w:r>
    </w:p>
    <w:p w14:paraId="62B56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9、就债权提起诉讼可能存在反诉要求赔偿违约金等债权存在争议、无法收回、产生损失的风险。</w:t>
      </w:r>
    </w:p>
    <w:p w14:paraId="2F6AD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10、就债权提起诉讼可能存在败诉、不能变更诉讼主体、执行主体等诉讼风险。</w:t>
      </w:r>
    </w:p>
    <w:p w14:paraId="6D20C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11、债权项目可能存在已经被其他债权人或第三人收取的情形。</w:t>
      </w:r>
    </w:p>
    <w:p w14:paraId="56BF3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12、其他已经或尚未发现的可能导致债权存在争议、不存在、无法收回、产生损失等风险。</w:t>
      </w:r>
    </w:p>
    <w:p w14:paraId="1D974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因上述问题发生费用及造成的导致债权存在争议、无法收回、产生损失等风险由买受人自行承担。</w:t>
      </w:r>
    </w:p>
    <w:p w14:paraId="7A876B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13、竞买人需对影响标的债权价值的一切因素独立进行综合考量后作出是否竞买的决策，并自行承担由此所产生的一切风险、损失以及不能获得相应预期利益的后果。管理人不提供任何债权可收回性的保证或承诺。</w:t>
      </w:r>
    </w:p>
    <w:p w14:paraId="6B6C7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14、竞买人在拍卖成交后所获得的债权如存在瑕疵或附随义务，受让人将同样受到该瑕疵或附随义务的约束。上述存在的瑕疵或附随义务或尚未发现的缺陷，由竞买人自行调查核实并承担相应风险。</w:t>
      </w:r>
    </w:p>
    <w:p w14:paraId="4CE08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15、管理人仅负责向买受人出具债权转让通知书，向债务人、抵押权人、质押权人、保证人等相关担保权人送达的相关通知或文书由买受人自行负责并承担相关费用。管理人无法给买受人开具发票。</w:t>
      </w:r>
    </w:p>
    <w:p w14:paraId="11B2E0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16、竞买人应在竞价前自行做好尽职调查，自行判断是否符合受让本标的的资格。因不符合条件参加竞买的，由竞买人自行承担相应的法律责任，并自行承担由此产生的全部责任及后果，包括但不限于费用、风险和损失。</w:t>
      </w:r>
    </w:p>
    <w:p w14:paraId="66239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17、管理人既无法确定已经收集的证据所指向的事实不会被管理人所未知或尚未掌握的其他证据或事实推翻，也无法保证就相关债权所收集的证据或材料的真实性、有效性、完整性、合法性及其与债权之间存在关联性。管理人所收集的证据只是根据其对于相关事实的理解所收集，现提供信息存在根据其现有财务等记录所反映事实不能被司法机关认可的风险。</w:t>
      </w:r>
    </w:p>
    <w:p w14:paraId="496C0E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18、本次拍卖涉及的一切税、费及其他相关费用按照法律规定由买卖双方各自承担，未明确缴费义务人的费用由买受人承担。</w:t>
      </w:r>
    </w:p>
    <w:p w14:paraId="1AC52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19、拍卖成交之日起，买受人须承担标的物可能发生的一切风险。</w:t>
      </w:r>
    </w:p>
    <w:p w14:paraId="63BFB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20、管理人将秉持诚信原则尽量提供给竞买人所需资料，管理人不对标的任何权利负担或瑕疵承担责任。竞买人根据自身需求可自行调查、了解、核实。未尽事宜，管理人不承担任何责任。</w:t>
      </w:r>
    </w:p>
    <w:p w14:paraId="4B866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21、其他未尽事宜由买受人自行了解。</w:t>
      </w:r>
    </w:p>
    <w:p w14:paraId="40931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 w:hAnsi="仿宋" w:eastAsia="仿宋" w:cs="仿宋"/>
          <w:i w:val="0"/>
          <w:iCs w:val="0"/>
          <w:caps w:val="0"/>
          <w:color w:val="auto"/>
          <w:spacing w:val="0"/>
          <w:sz w:val="28"/>
          <w:szCs w:val="28"/>
        </w:rPr>
      </w:pPr>
      <w:r>
        <w:rPr>
          <w:rFonts w:hint="eastAsia" w:ascii="仿宋" w:hAnsi="仿宋" w:eastAsia="仿宋" w:cs="仿宋"/>
          <w:b/>
          <w:bCs/>
          <w:i w:val="0"/>
          <w:iCs w:val="0"/>
          <w:caps w:val="0"/>
          <w:color w:val="auto"/>
          <w:spacing w:val="0"/>
          <w:sz w:val="28"/>
          <w:szCs w:val="28"/>
        </w:rPr>
        <w:t>因上述问题发生费用及造成的债权目的不能实现、债权无法回收的风险由买受人自行承担。</w:t>
      </w:r>
    </w:p>
    <w:p w14:paraId="7BEC18F2">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46E78"/>
    <w:rsid w:val="24DD3FBC"/>
    <w:rsid w:val="46746E78"/>
    <w:rsid w:val="47A17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1996</Characters>
  <Lines>0</Lines>
  <Paragraphs>0</Paragraphs>
  <TotalTime>9</TotalTime>
  <ScaleCrop>false</ScaleCrop>
  <LinksUpToDate>false</LinksUpToDate>
  <CharactersWithSpaces>1996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2026-03-17T08:57:00Z</dcterms:created>
  <dc:creator>乔律师</dc:creator>
  <cp:lastModifiedBy>乔律师</cp:lastModifiedBy>
  <dcterms:modified xsi:type="dcterms:W3CDTF">2026-03-17T09:59:14Z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A1E2FA6BD1044360962333635B921CAD_11</vt:lpwstr>
  </property>
  <property fmtid="{D5CDD505-2E9C-101B-9397-08002B2CF9AE}" pid="4" name="KSOTemplateDocerSaveRecord">
    <vt:lpwstr>eyJoZGlkIjoiODViY2JkMjU3NGYzZTEwMzZmMGFkZWViYmNkYWU3NDIiLCJ1c2VySWQiOiIxMjc1NzQ0MDg0In0=</vt:lpwstr>
  </property>
</Properties>
</file>