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4321" w14:textId="77777777" w:rsidR="004615BF" w:rsidRPr="004615BF" w:rsidRDefault="004615BF" w:rsidP="004615BF">
      <w:pPr>
        <w:spacing w:line="420" w:lineRule="exact"/>
        <w:jc w:val="center"/>
        <w:rPr>
          <w:rFonts w:ascii="仿宋" w:eastAsia="仿宋" w:hAnsi="仿宋"/>
          <w:sz w:val="28"/>
          <w:szCs w:val="28"/>
        </w:rPr>
      </w:pPr>
      <w:r w:rsidRPr="004615BF">
        <w:rPr>
          <w:rFonts w:ascii="仿宋" w:eastAsia="仿宋" w:hAnsi="仿宋"/>
          <w:b/>
          <w:bCs/>
          <w:sz w:val="28"/>
          <w:szCs w:val="28"/>
        </w:rPr>
        <w:t>竞买须知</w:t>
      </w:r>
    </w:p>
    <w:p w14:paraId="15B449F1"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福建省长泰天</w:t>
      </w:r>
      <w:proofErr w:type="gramStart"/>
      <w:r w:rsidRPr="004615BF">
        <w:rPr>
          <w:rFonts w:ascii="仿宋" w:eastAsia="仿宋" w:hAnsi="仿宋"/>
          <w:sz w:val="28"/>
          <w:szCs w:val="28"/>
        </w:rPr>
        <w:t>颐</w:t>
      </w:r>
      <w:proofErr w:type="gramEnd"/>
      <w:r w:rsidRPr="004615BF">
        <w:rPr>
          <w:rFonts w:ascii="仿宋" w:eastAsia="仿宋" w:hAnsi="仿宋"/>
          <w:sz w:val="28"/>
          <w:szCs w:val="28"/>
        </w:rPr>
        <w:t>置业有限公司管理人（以下简称管理人）将于2026年6月17日10时至2026年6月18日10时止（延时除外）在</w:t>
      </w:r>
      <w:proofErr w:type="gramStart"/>
      <w:r w:rsidRPr="004615BF">
        <w:rPr>
          <w:rFonts w:ascii="仿宋" w:eastAsia="仿宋" w:hAnsi="仿宋"/>
          <w:sz w:val="28"/>
          <w:szCs w:val="28"/>
        </w:rPr>
        <w:t>淘宝网</w:t>
      </w:r>
      <w:proofErr w:type="gramEnd"/>
      <w:r w:rsidRPr="004615BF">
        <w:rPr>
          <w:rFonts w:ascii="仿宋" w:eastAsia="仿宋" w:hAnsi="仿宋"/>
          <w:sz w:val="28"/>
          <w:szCs w:val="28"/>
        </w:rPr>
        <w:t>阿里拍卖破产强清平台对漳州市长</w:t>
      </w:r>
      <w:proofErr w:type="gramStart"/>
      <w:r w:rsidRPr="004615BF">
        <w:rPr>
          <w:rFonts w:ascii="仿宋" w:eastAsia="仿宋" w:hAnsi="仿宋"/>
          <w:sz w:val="28"/>
          <w:szCs w:val="28"/>
        </w:rPr>
        <w:t>泰区马洋</w:t>
      </w:r>
      <w:proofErr w:type="gramEnd"/>
      <w:r w:rsidRPr="004615BF">
        <w:rPr>
          <w:rFonts w:ascii="仿宋" w:eastAsia="仿宋" w:hAnsi="仿宋"/>
          <w:sz w:val="28"/>
          <w:szCs w:val="28"/>
        </w:rPr>
        <w:t>溪生态旅游区十里村两块国有建设用地使用权公开拍卖活动（处置单位：福建省长泰天</w:t>
      </w:r>
      <w:proofErr w:type="gramStart"/>
      <w:r w:rsidRPr="004615BF">
        <w:rPr>
          <w:rFonts w:ascii="仿宋" w:eastAsia="仿宋" w:hAnsi="仿宋"/>
          <w:sz w:val="28"/>
          <w:szCs w:val="28"/>
        </w:rPr>
        <w:t>颐</w:t>
      </w:r>
      <w:proofErr w:type="gramEnd"/>
      <w:r w:rsidRPr="004615BF">
        <w:rPr>
          <w:rFonts w:ascii="仿宋" w:eastAsia="仿宋" w:hAnsi="仿宋"/>
          <w:sz w:val="28"/>
          <w:szCs w:val="28"/>
        </w:rPr>
        <w:t>置业有限公司管理人；监督单位：福建省漳州市中级人民法院）。现就网上拍卖有关事宜敬告各位竞买人：</w:t>
      </w:r>
    </w:p>
    <w:p w14:paraId="40856D41"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一、本《竞买须知》根据相关法律规定制订，竞买人应认真仔细阅读，了解本须知的全部内容。竞买人报名参与竞买，表示完全知晓本次拍卖活动的全部内容。</w:t>
      </w:r>
    </w:p>
    <w:p w14:paraId="59BD341F"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二、本次拍卖活动遵循“公开、公平、公正、诚实守信”的原则，拍卖活动具备法律效力。参加本次拍卖活动的竞买人必须遵守拍卖</w:t>
      </w:r>
      <w:proofErr w:type="gramStart"/>
      <w:r w:rsidRPr="004615BF">
        <w:rPr>
          <w:rFonts w:ascii="仿宋" w:eastAsia="仿宋" w:hAnsi="仿宋"/>
          <w:sz w:val="28"/>
          <w:szCs w:val="28"/>
        </w:rPr>
        <w:t>破产强清平台</w:t>
      </w:r>
      <w:proofErr w:type="gramEnd"/>
      <w:r w:rsidRPr="004615BF">
        <w:rPr>
          <w:rFonts w:ascii="仿宋" w:eastAsia="仿宋" w:hAnsi="仿宋"/>
          <w:sz w:val="28"/>
          <w:szCs w:val="28"/>
        </w:rPr>
        <w:t>规则、本须知以及拍卖公告的各项条款，并对自己的行为承担法律责任。</w:t>
      </w:r>
    </w:p>
    <w:p w14:paraId="4A857D7A"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三、拍卖标的：福建省长泰天</w:t>
      </w:r>
      <w:proofErr w:type="gramStart"/>
      <w:r w:rsidRPr="004615BF">
        <w:rPr>
          <w:rFonts w:ascii="仿宋" w:eastAsia="仿宋" w:hAnsi="仿宋"/>
          <w:sz w:val="28"/>
          <w:szCs w:val="28"/>
        </w:rPr>
        <w:t>颐</w:t>
      </w:r>
      <w:proofErr w:type="gramEnd"/>
      <w:r w:rsidRPr="004615BF">
        <w:rPr>
          <w:rFonts w:ascii="仿宋" w:eastAsia="仿宋" w:hAnsi="仿宋"/>
          <w:sz w:val="28"/>
          <w:szCs w:val="28"/>
        </w:rPr>
        <w:t>置业有限公司破产清算项目所涉及的漳州市长</w:t>
      </w:r>
      <w:proofErr w:type="gramStart"/>
      <w:r w:rsidRPr="004615BF">
        <w:rPr>
          <w:rFonts w:ascii="仿宋" w:eastAsia="仿宋" w:hAnsi="仿宋"/>
          <w:sz w:val="28"/>
          <w:szCs w:val="28"/>
        </w:rPr>
        <w:t>泰区马洋</w:t>
      </w:r>
      <w:proofErr w:type="gramEnd"/>
      <w:r w:rsidRPr="004615BF">
        <w:rPr>
          <w:rFonts w:ascii="仿宋" w:eastAsia="仿宋" w:hAnsi="仿宋"/>
          <w:sz w:val="28"/>
          <w:szCs w:val="28"/>
        </w:rPr>
        <w:t>溪生态旅游区十里村两块国有建设用地使用权。</w:t>
      </w:r>
    </w:p>
    <w:p w14:paraId="7E2B8097"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四、拍卖标的以现状进行拍卖，其外观、结构、固定装修、隐蔽工程及内在质量以现状为准，</w:t>
      </w:r>
      <w:r w:rsidRPr="004615BF">
        <w:rPr>
          <w:rFonts w:ascii="仿宋" w:eastAsia="仿宋" w:hAnsi="仿宋"/>
          <w:b/>
          <w:bCs/>
          <w:sz w:val="28"/>
          <w:szCs w:val="28"/>
        </w:rPr>
        <w:t>请竞买人拍卖前到现场查看标的物现状</w:t>
      </w:r>
      <w:r w:rsidRPr="004615BF">
        <w:rPr>
          <w:rFonts w:ascii="仿宋" w:eastAsia="仿宋" w:hAnsi="仿宋"/>
          <w:sz w:val="28"/>
          <w:szCs w:val="28"/>
        </w:rPr>
        <w:t>。管理人对标的物外观、质量问题、结构调整、固定装修损坏、宗地面积差异等不作担保，由买受人自行承担相关责任，由此产生的问题也不影响拍卖成交结果及成交价格。</w:t>
      </w:r>
    </w:p>
    <w:p w14:paraId="65F127CD"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五、</w:t>
      </w:r>
      <w:r w:rsidRPr="004615BF">
        <w:rPr>
          <w:rFonts w:ascii="仿宋" w:eastAsia="仿宋" w:hAnsi="仿宋"/>
          <w:b/>
          <w:bCs/>
          <w:sz w:val="28"/>
          <w:szCs w:val="28"/>
        </w:rPr>
        <w:t>竞拍前竞买人应缴纳足额的拍卖保证金。竞买人在对拍卖标的物第一次确认出价竞拍前，</w:t>
      </w:r>
      <w:proofErr w:type="gramStart"/>
      <w:r w:rsidRPr="004615BF">
        <w:rPr>
          <w:rFonts w:ascii="仿宋" w:eastAsia="仿宋" w:hAnsi="仿宋"/>
          <w:b/>
          <w:bCs/>
          <w:sz w:val="28"/>
          <w:szCs w:val="28"/>
        </w:rPr>
        <w:t>按网拍</w:t>
      </w:r>
      <w:proofErr w:type="gramEnd"/>
      <w:r w:rsidRPr="004615BF">
        <w:rPr>
          <w:rFonts w:ascii="仿宋" w:eastAsia="仿宋" w:hAnsi="仿宋"/>
          <w:b/>
          <w:bCs/>
          <w:sz w:val="28"/>
          <w:szCs w:val="28"/>
        </w:rPr>
        <w:t>系统提示报名缴纳保证金，系统会自动冻结该笔款项。</w:t>
      </w:r>
      <w:r w:rsidRPr="004615BF">
        <w:rPr>
          <w:rFonts w:ascii="仿宋" w:eastAsia="仿宋" w:hAnsi="仿宋"/>
          <w:sz w:val="28"/>
          <w:szCs w:val="28"/>
        </w:rPr>
        <w:t>拍卖未成交的（即流拍的），竞买人的保证金在拍卖活动结束后24小时内解冻，保证金冻结期间不计利息。</w:t>
      </w:r>
    </w:p>
    <w:p w14:paraId="6F90C28E"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六、本次拍卖是经拍卖公告确定的公告期后才举行的，拍卖标的物可能存在的瑕疵以现状为准。管理人对拍卖标的物所作的说明和提供的图片等，仅供竞买人参考，不构成对标的物的任何担保。请竞买人在拍卖前须仔细审查拍卖标的物，自行调查是否存在瑕疵，亲临展示现场实地看样。</w:t>
      </w:r>
      <w:proofErr w:type="gramStart"/>
      <w:r w:rsidRPr="004615BF">
        <w:rPr>
          <w:rFonts w:ascii="仿宋" w:eastAsia="仿宋" w:hAnsi="仿宋"/>
          <w:sz w:val="28"/>
          <w:szCs w:val="28"/>
        </w:rPr>
        <w:t>未现场</w:t>
      </w:r>
      <w:proofErr w:type="gramEnd"/>
      <w:r w:rsidRPr="004615BF">
        <w:rPr>
          <w:rFonts w:ascii="仿宋" w:eastAsia="仿宋" w:hAnsi="仿宋"/>
          <w:sz w:val="28"/>
          <w:szCs w:val="28"/>
        </w:rPr>
        <w:t>看样的竞买人视为对本标的实物现状的认可，一</w:t>
      </w:r>
      <w:r w:rsidRPr="004615BF">
        <w:rPr>
          <w:rFonts w:ascii="仿宋" w:eastAsia="仿宋" w:hAnsi="仿宋"/>
          <w:sz w:val="28"/>
          <w:szCs w:val="28"/>
        </w:rPr>
        <w:lastRenderedPageBreak/>
        <w:t>旦</w:t>
      </w:r>
      <w:proofErr w:type="gramStart"/>
      <w:r w:rsidRPr="004615BF">
        <w:rPr>
          <w:rFonts w:ascii="仿宋" w:eastAsia="仿宋" w:hAnsi="仿宋"/>
          <w:sz w:val="28"/>
          <w:szCs w:val="28"/>
        </w:rPr>
        <w:t>作出</w:t>
      </w:r>
      <w:proofErr w:type="gramEnd"/>
      <w:r w:rsidRPr="004615BF">
        <w:rPr>
          <w:rFonts w:ascii="仿宋" w:eastAsia="仿宋" w:hAnsi="仿宋"/>
          <w:sz w:val="28"/>
          <w:szCs w:val="28"/>
        </w:rPr>
        <w:t>竞买决定，即表明已完全了解，并接受标的物的现状和一切已知及未知的瑕疵。</w:t>
      </w:r>
    </w:p>
    <w:p w14:paraId="1F84AEAF"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七、标的物过户登记手续由买受人自行办理，管理人将可给予必要的协助，办理过程中所涉及的一切税种和所需补交的相关税税种（包括但不限于所得税、营业税、土地增值税、契税、印花税，破产案件受理期间产生的房产税、城镇土地使用税等）均由买受人承担。</w:t>
      </w:r>
    </w:p>
    <w:p w14:paraId="402E3508"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竞价标的所涉及的水、电、煤气、管理费等相关未受法律保护的债务及有可能存在的欠费均由买受人自行承担。</w:t>
      </w:r>
    </w:p>
    <w:p w14:paraId="47B55C5B"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b/>
          <w:bCs/>
          <w:sz w:val="28"/>
          <w:szCs w:val="28"/>
        </w:rPr>
        <w:t>本次拍卖成交后，需缴纳软件服务费，该费用由买受方自行承担。</w:t>
      </w:r>
    </w:p>
    <w:p w14:paraId="13A4F0D8"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八、本次拍卖活动计价货币为人民币，拍卖时的起拍价、成交价均不含买受人在拍卖标的物交割、过户时所发生的相关费用和税费，管理人将配合买受人办理标的物移交及过户登记手续。</w:t>
      </w:r>
    </w:p>
    <w:p w14:paraId="39B84385"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九、参加竞买的人应当遵守拍卖公告、拍卖须知的规定，不得阻挠其他竞买人竞拍，不得操纵、垄断竞拍价格，严禁竞买人恶意串标，上述行为一经发现，将取消其竞买资格，并追究相关的法律责任。</w:t>
      </w:r>
    </w:p>
    <w:p w14:paraId="6D030FDE"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十、买受人逾期未支付拍卖款或未办理交接手续，管理人可以重新拍卖。重新拍卖时，原买受人不得参加竞买。拍卖成交后买受</w:t>
      </w:r>
      <w:proofErr w:type="gramStart"/>
      <w:r w:rsidRPr="004615BF">
        <w:rPr>
          <w:rFonts w:ascii="仿宋" w:eastAsia="仿宋" w:hAnsi="仿宋"/>
          <w:sz w:val="28"/>
          <w:szCs w:val="28"/>
        </w:rPr>
        <w:t>人悔拍</w:t>
      </w:r>
      <w:proofErr w:type="gramEnd"/>
      <w:r w:rsidRPr="004615BF">
        <w:rPr>
          <w:rFonts w:ascii="仿宋" w:eastAsia="仿宋" w:hAnsi="仿宋"/>
          <w:sz w:val="28"/>
          <w:szCs w:val="28"/>
        </w:rPr>
        <w:t>的，交纳的保证金不予退还，依次用于支付拍卖产生的费用损失、弥补重新拍卖价款低于原拍卖价款的差价。保证金数额不足以弥补拍卖费用损失以及重新拍卖价款低于原拍卖价款的差价的，管理人</w:t>
      </w:r>
      <w:proofErr w:type="gramStart"/>
      <w:r w:rsidRPr="004615BF">
        <w:rPr>
          <w:rFonts w:ascii="仿宋" w:eastAsia="仿宋" w:hAnsi="仿宋"/>
          <w:sz w:val="28"/>
          <w:szCs w:val="28"/>
        </w:rPr>
        <w:t>可向悔拍人</w:t>
      </w:r>
      <w:proofErr w:type="gramEnd"/>
      <w:r w:rsidRPr="004615BF">
        <w:rPr>
          <w:rFonts w:ascii="仿宋" w:eastAsia="仿宋" w:hAnsi="仿宋"/>
          <w:sz w:val="28"/>
          <w:szCs w:val="28"/>
        </w:rPr>
        <w:t>追索。</w:t>
      </w:r>
    </w:p>
    <w:p w14:paraId="2984AD96"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十一、拍卖人根据法律规定有权在拍卖开始前中止拍卖或撤回拍卖。</w:t>
      </w:r>
    </w:p>
    <w:p w14:paraId="620429BC"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十二、为便于买受人及时收到管理人相关的文书，竞买人在拍卖竞价前如实向</w:t>
      </w:r>
      <w:proofErr w:type="gramStart"/>
      <w:r w:rsidRPr="004615BF">
        <w:rPr>
          <w:rFonts w:ascii="仿宋" w:eastAsia="仿宋" w:hAnsi="仿宋"/>
          <w:sz w:val="28"/>
          <w:szCs w:val="28"/>
        </w:rPr>
        <w:t>破产强清平台</w:t>
      </w:r>
      <w:proofErr w:type="gramEnd"/>
      <w:r w:rsidRPr="004615BF">
        <w:rPr>
          <w:rFonts w:ascii="仿宋" w:eastAsia="仿宋" w:hAnsi="仿宋"/>
          <w:sz w:val="28"/>
          <w:szCs w:val="28"/>
        </w:rPr>
        <w:t>提供确切的送达地址，上述地址确认为邮寄地址，如需更改，买受人应在拍卖活动结束时与管理人联系确认更改。如果提供的送达地址不确切，或不及时告知变更后的地址，使与本次拍卖有关文书无法送达或未能及时送达，竞买人自行承担由此可能产生的法律后果。</w:t>
      </w:r>
    </w:p>
    <w:p w14:paraId="54C1EDC2"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t>十三、本次拍卖公告、拍卖须知由管理人行使解释权。</w:t>
      </w:r>
    </w:p>
    <w:p w14:paraId="2ECB0ADD" w14:textId="77777777" w:rsidR="004615BF" w:rsidRPr="004615BF" w:rsidRDefault="004615BF" w:rsidP="004615BF">
      <w:pPr>
        <w:spacing w:line="420" w:lineRule="exact"/>
        <w:jc w:val="both"/>
        <w:rPr>
          <w:rFonts w:ascii="仿宋" w:eastAsia="仿宋" w:hAnsi="仿宋"/>
          <w:sz w:val="28"/>
          <w:szCs w:val="28"/>
        </w:rPr>
      </w:pPr>
      <w:r w:rsidRPr="004615BF">
        <w:rPr>
          <w:rFonts w:ascii="仿宋" w:eastAsia="仿宋" w:hAnsi="仿宋"/>
          <w:sz w:val="28"/>
          <w:szCs w:val="28"/>
        </w:rPr>
        <w:lastRenderedPageBreak/>
        <w:t>咨询电话方女士：13950101505</w:t>
      </w:r>
    </w:p>
    <w:p w14:paraId="3E6C7C87" w14:textId="77777777" w:rsidR="004615BF" w:rsidRPr="004615BF" w:rsidRDefault="004615BF" w:rsidP="004615BF">
      <w:pPr>
        <w:spacing w:line="420" w:lineRule="exact"/>
        <w:jc w:val="both"/>
        <w:rPr>
          <w:rFonts w:ascii="仿宋" w:eastAsia="仿宋" w:hAnsi="仿宋"/>
          <w:sz w:val="28"/>
          <w:szCs w:val="28"/>
        </w:rPr>
      </w:pPr>
      <w:r w:rsidRPr="004615BF">
        <w:rPr>
          <w:rFonts w:ascii="Calibri" w:eastAsia="仿宋" w:hAnsi="Calibri" w:cs="Calibri"/>
          <w:sz w:val="28"/>
          <w:szCs w:val="28"/>
        </w:rPr>
        <w:t> </w:t>
      </w:r>
    </w:p>
    <w:p w14:paraId="62F22261" w14:textId="77777777" w:rsidR="004615BF" w:rsidRPr="004615BF" w:rsidRDefault="004615BF" w:rsidP="004615BF">
      <w:pPr>
        <w:spacing w:line="420" w:lineRule="exact"/>
        <w:jc w:val="both"/>
        <w:rPr>
          <w:rFonts w:ascii="仿宋" w:eastAsia="仿宋" w:hAnsi="仿宋"/>
          <w:sz w:val="28"/>
          <w:szCs w:val="28"/>
        </w:rPr>
      </w:pPr>
      <w:r w:rsidRPr="004615BF">
        <w:rPr>
          <w:rFonts w:ascii="Calibri" w:eastAsia="仿宋" w:hAnsi="Calibri" w:cs="Calibri"/>
          <w:sz w:val="28"/>
          <w:szCs w:val="28"/>
        </w:rPr>
        <w:t> </w:t>
      </w:r>
    </w:p>
    <w:p w14:paraId="7E1DCD2F" w14:textId="77777777" w:rsidR="004615BF" w:rsidRPr="004615BF" w:rsidRDefault="004615BF" w:rsidP="004615BF">
      <w:pPr>
        <w:spacing w:line="420" w:lineRule="exact"/>
        <w:jc w:val="both"/>
        <w:rPr>
          <w:rFonts w:ascii="仿宋" w:eastAsia="仿宋" w:hAnsi="仿宋"/>
          <w:sz w:val="28"/>
          <w:szCs w:val="28"/>
        </w:rPr>
      </w:pPr>
      <w:r w:rsidRPr="004615BF">
        <w:rPr>
          <w:rFonts w:ascii="Calibri" w:eastAsia="仿宋" w:hAnsi="Calibri" w:cs="Calibri"/>
          <w:sz w:val="28"/>
          <w:szCs w:val="28"/>
        </w:rPr>
        <w:t>     </w:t>
      </w:r>
      <w:r w:rsidRPr="004615BF">
        <w:rPr>
          <w:rFonts w:ascii="仿宋" w:eastAsia="仿宋" w:hAnsi="仿宋"/>
          <w:sz w:val="28"/>
          <w:szCs w:val="28"/>
        </w:rPr>
        <w:t>福建省长泰天</w:t>
      </w:r>
      <w:proofErr w:type="gramStart"/>
      <w:r w:rsidRPr="004615BF">
        <w:rPr>
          <w:rFonts w:ascii="仿宋" w:eastAsia="仿宋" w:hAnsi="仿宋"/>
          <w:sz w:val="28"/>
          <w:szCs w:val="28"/>
        </w:rPr>
        <w:t>颐</w:t>
      </w:r>
      <w:proofErr w:type="gramEnd"/>
      <w:r w:rsidRPr="004615BF">
        <w:rPr>
          <w:rFonts w:ascii="仿宋" w:eastAsia="仿宋" w:hAnsi="仿宋"/>
          <w:sz w:val="28"/>
          <w:szCs w:val="28"/>
        </w:rPr>
        <w:t>置业有限公司管理人</w:t>
      </w:r>
    </w:p>
    <w:p w14:paraId="58557E22" w14:textId="77777777" w:rsidR="004615BF" w:rsidRPr="004615BF" w:rsidRDefault="004615BF" w:rsidP="004615BF">
      <w:pPr>
        <w:spacing w:line="420" w:lineRule="exact"/>
        <w:jc w:val="both"/>
        <w:rPr>
          <w:rFonts w:ascii="仿宋" w:eastAsia="仿宋" w:hAnsi="仿宋"/>
          <w:sz w:val="28"/>
          <w:szCs w:val="28"/>
        </w:rPr>
      </w:pPr>
      <w:r w:rsidRPr="004615BF">
        <w:rPr>
          <w:rFonts w:ascii="Calibri" w:eastAsia="仿宋" w:hAnsi="Calibri" w:cs="Calibri"/>
          <w:sz w:val="28"/>
          <w:szCs w:val="28"/>
        </w:rPr>
        <w:t>    </w:t>
      </w:r>
      <w:r w:rsidRPr="004615BF">
        <w:rPr>
          <w:rFonts w:ascii="仿宋" w:eastAsia="仿宋" w:hAnsi="仿宋"/>
          <w:sz w:val="28"/>
          <w:szCs w:val="28"/>
        </w:rPr>
        <w:t>二</w:t>
      </w:r>
      <w:proofErr w:type="gramStart"/>
      <w:r w:rsidRPr="004615BF">
        <w:rPr>
          <w:rFonts w:ascii="仿宋" w:eastAsia="仿宋" w:hAnsi="仿宋"/>
          <w:sz w:val="28"/>
          <w:szCs w:val="28"/>
        </w:rPr>
        <w:t>0二六</w:t>
      </w:r>
      <w:proofErr w:type="gramEnd"/>
      <w:r w:rsidRPr="004615BF">
        <w:rPr>
          <w:rFonts w:ascii="仿宋" w:eastAsia="仿宋" w:hAnsi="仿宋"/>
          <w:sz w:val="28"/>
          <w:szCs w:val="28"/>
        </w:rPr>
        <w:t>年六月一日</w:t>
      </w:r>
    </w:p>
    <w:p w14:paraId="3E2DF614" w14:textId="77777777" w:rsidR="009A763E" w:rsidRPr="004615BF" w:rsidRDefault="009A763E" w:rsidP="004615BF">
      <w:pPr>
        <w:spacing w:line="420" w:lineRule="exact"/>
        <w:jc w:val="both"/>
        <w:rPr>
          <w:rFonts w:ascii="仿宋" w:eastAsia="仿宋" w:hAnsi="仿宋"/>
          <w:sz w:val="28"/>
          <w:szCs w:val="28"/>
        </w:rPr>
      </w:pPr>
    </w:p>
    <w:sectPr w:rsidR="009A763E" w:rsidRPr="00461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3E"/>
    <w:rsid w:val="002346BF"/>
    <w:rsid w:val="004615BF"/>
    <w:rsid w:val="009A7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81441-8DF1-418B-BCE8-536D501C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76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76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76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76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76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76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76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76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76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76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76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76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763E"/>
    <w:rPr>
      <w:rFonts w:cstheme="majorBidi"/>
      <w:color w:val="2F5496" w:themeColor="accent1" w:themeShade="BF"/>
      <w:sz w:val="28"/>
      <w:szCs w:val="28"/>
    </w:rPr>
  </w:style>
  <w:style w:type="character" w:customStyle="1" w:styleId="50">
    <w:name w:val="标题 5 字符"/>
    <w:basedOn w:val="a0"/>
    <w:link w:val="5"/>
    <w:uiPriority w:val="9"/>
    <w:semiHidden/>
    <w:rsid w:val="009A763E"/>
    <w:rPr>
      <w:rFonts w:cstheme="majorBidi"/>
      <w:color w:val="2F5496" w:themeColor="accent1" w:themeShade="BF"/>
      <w:sz w:val="24"/>
    </w:rPr>
  </w:style>
  <w:style w:type="character" w:customStyle="1" w:styleId="60">
    <w:name w:val="标题 6 字符"/>
    <w:basedOn w:val="a0"/>
    <w:link w:val="6"/>
    <w:uiPriority w:val="9"/>
    <w:semiHidden/>
    <w:rsid w:val="009A763E"/>
    <w:rPr>
      <w:rFonts w:cstheme="majorBidi"/>
      <w:b/>
      <w:bCs/>
      <w:color w:val="2F5496" w:themeColor="accent1" w:themeShade="BF"/>
    </w:rPr>
  </w:style>
  <w:style w:type="character" w:customStyle="1" w:styleId="70">
    <w:name w:val="标题 7 字符"/>
    <w:basedOn w:val="a0"/>
    <w:link w:val="7"/>
    <w:uiPriority w:val="9"/>
    <w:semiHidden/>
    <w:rsid w:val="009A763E"/>
    <w:rPr>
      <w:rFonts w:cstheme="majorBidi"/>
      <w:b/>
      <w:bCs/>
      <w:color w:val="595959" w:themeColor="text1" w:themeTint="A6"/>
    </w:rPr>
  </w:style>
  <w:style w:type="character" w:customStyle="1" w:styleId="80">
    <w:name w:val="标题 8 字符"/>
    <w:basedOn w:val="a0"/>
    <w:link w:val="8"/>
    <w:uiPriority w:val="9"/>
    <w:semiHidden/>
    <w:rsid w:val="009A763E"/>
    <w:rPr>
      <w:rFonts w:cstheme="majorBidi"/>
      <w:color w:val="595959" w:themeColor="text1" w:themeTint="A6"/>
    </w:rPr>
  </w:style>
  <w:style w:type="character" w:customStyle="1" w:styleId="90">
    <w:name w:val="标题 9 字符"/>
    <w:basedOn w:val="a0"/>
    <w:link w:val="9"/>
    <w:uiPriority w:val="9"/>
    <w:semiHidden/>
    <w:rsid w:val="009A763E"/>
    <w:rPr>
      <w:rFonts w:eastAsiaTheme="majorEastAsia" w:cstheme="majorBidi"/>
      <w:color w:val="595959" w:themeColor="text1" w:themeTint="A6"/>
    </w:rPr>
  </w:style>
  <w:style w:type="paragraph" w:styleId="a3">
    <w:name w:val="Title"/>
    <w:basedOn w:val="a"/>
    <w:next w:val="a"/>
    <w:link w:val="a4"/>
    <w:uiPriority w:val="10"/>
    <w:qFormat/>
    <w:rsid w:val="009A76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76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6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76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763E"/>
    <w:pPr>
      <w:spacing w:before="160"/>
      <w:jc w:val="center"/>
    </w:pPr>
    <w:rPr>
      <w:i/>
      <w:iCs/>
      <w:color w:val="404040" w:themeColor="text1" w:themeTint="BF"/>
    </w:rPr>
  </w:style>
  <w:style w:type="character" w:customStyle="1" w:styleId="a8">
    <w:name w:val="引用 字符"/>
    <w:basedOn w:val="a0"/>
    <w:link w:val="a7"/>
    <w:uiPriority w:val="29"/>
    <w:rsid w:val="009A763E"/>
    <w:rPr>
      <w:i/>
      <w:iCs/>
      <w:color w:val="404040" w:themeColor="text1" w:themeTint="BF"/>
    </w:rPr>
  </w:style>
  <w:style w:type="paragraph" w:styleId="a9">
    <w:name w:val="List Paragraph"/>
    <w:basedOn w:val="a"/>
    <w:uiPriority w:val="34"/>
    <w:qFormat/>
    <w:rsid w:val="009A763E"/>
    <w:pPr>
      <w:ind w:left="720"/>
      <w:contextualSpacing/>
    </w:pPr>
  </w:style>
  <w:style w:type="character" w:styleId="aa">
    <w:name w:val="Intense Emphasis"/>
    <w:basedOn w:val="a0"/>
    <w:uiPriority w:val="21"/>
    <w:qFormat/>
    <w:rsid w:val="009A763E"/>
    <w:rPr>
      <w:i/>
      <w:iCs/>
      <w:color w:val="2F5496" w:themeColor="accent1" w:themeShade="BF"/>
    </w:rPr>
  </w:style>
  <w:style w:type="paragraph" w:styleId="ab">
    <w:name w:val="Intense Quote"/>
    <w:basedOn w:val="a"/>
    <w:next w:val="a"/>
    <w:link w:val="ac"/>
    <w:uiPriority w:val="30"/>
    <w:qFormat/>
    <w:rsid w:val="009A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763E"/>
    <w:rPr>
      <w:i/>
      <w:iCs/>
      <w:color w:val="2F5496" w:themeColor="accent1" w:themeShade="BF"/>
    </w:rPr>
  </w:style>
  <w:style w:type="character" w:styleId="ad">
    <w:name w:val="Intense Reference"/>
    <w:basedOn w:val="a0"/>
    <w:uiPriority w:val="32"/>
    <w:qFormat/>
    <w:rsid w:val="009A76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 deng</dc:creator>
  <cp:keywords/>
  <dc:description/>
  <cp:lastModifiedBy>xiaoya deng</cp:lastModifiedBy>
  <cp:revision>2</cp:revision>
  <dcterms:created xsi:type="dcterms:W3CDTF">2026-06-01T01:45:00Z</dcterms:created>
  <dcterms:modified xsi:type="dcterms:W3CDTF">2026-06-01T01:46:00Z</dcterms:modified>
</cp:coreProperties>
</file>