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bottomFromText="300" w:vertAnchor="text"/>
        <w:tblW w:w="0" w:type="auto"/>
        <w:tblInd w:w="0" w:type="dxa"/>
        <w:tblBorders>
          <w:top w:val="single" w:color="E9E9E9" w:sz="6" w:space="0"/>
          <w:left w:val="single" w:color="E9E9E9" w:sz="6" w:space="0"/>
          <w:bottom w:val="single" w:color="E9E9E9" w:sz="6" w:space="0"/>
          <w:right w:val="single" w:color="E9E9E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414"/>
        <w:gridCol w:w="2551"/>
        <w:gridCol w:w="2910"/>
      </w:tblGrid>
      <w:tr>
        <w:trPr>
          <w:trHeight w:val="418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bookmarkStart w:id="3" w:name="_GoBack"/>
            <w:bookmarkEnd w:id="3"/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标的物名称</w:t>
            </w:r>
          </w:p>
        </w:tc>
        <w:tc>
          <w:tcPr>
            <w:tcW w:w="68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bookmarkStart w:id="0" w:name="_Hlk141411583"/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福建省长泰天颐置业有限公司</w:t>
            </w:r>
            <w:r>
              <w:rPr>
                <w:rFonts w:ascii="Helvetica" w:hAnsi="Helvetica" w:eastAsia="宋体" w:cs="Helvetica"/>
                <w:color w:val="666666"/>
                <w:kern w:val="0"/>
                <w:sz w:val="20"/>
                <w:szCs w:val="20"/>
              </w:rPr>
              <w:t>破产清算项目所涉及的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漳州市长泰区马洋溪生态旅游区十里村两块</w:t>
            </w:r>
            <w:r>
              <w:rPr>
                <w:rFonts w:ascii="Helvetica" w:hAnsi="Helvetica" w:eastAsia="宋体" w:cs="Helvetica"/>
                <w:color w:val="666666"/>
                <w:kern w:val="0"/>
                <w:sz w:val="20"/>
                <w:szCs w:val="20"/>
              </w:rPr>
              <w:t>国有建设用地使用权</w:t>
            </w:r>
            <w:bookmarkEnd w:id="0"/>
          </w:p>
        </w:tc>
      </w:tr>
      <w:tr>
        <w:trPr>
          <w:trHeight w:val="410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标的物地址</w:t>
            </w:r>
          </w:p>
        </w:tc>
        <w:tc>
          <w:tcPr>
            <w:tcW w:w="68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漳州市长泰区马洋溪生态旅游区十里村</w:t>
            </w:r>
          </w:p>
        </w:tc>
      </w:tr>
      <w:tr>
        <w:trPr>
          <w:trHeight w:val="106" w:hRule="atLeast"/>
        </w:trPr>
        <w:tc>
          <w:tcPr>
            <w:tcW w:w="14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权证情况</w:t>
            </w:r>
          </w:p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权证类型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权证号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证载内容（以证件信息为准）</w:t>
            </w:r>
          </w:p>
        </w:tc>
      </w:tr>
      <w:tr>
        <w:trPr>
          <w:trHeight w:val="46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666666"/>
                <w:kern w:val="0"/>
                <w:sz w:val="20"/>
                <w:szCs w:val="20"/>
              </w:rPr>
              <w:t>国有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土地使用权证号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泰国用（2008）第01213号；泰国用（2009）第00006号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666666"/>
                <w:kern w:val="0"/>
                <w:sz w:val="20"/>
                <w:szCs w:val="20"/>
              </w:rPr>
              <w:t>泰国用（2008）第01213号土地面积：29807平米；泰国用（2009）第00006号土地面积：50103.62平米</w:t>
            </w:r>
          </w:p>
        </w:tc>
      </w:tr>
      <w:t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土地性质</w:t>
            </w:r>
          </w:p>
        </w:tc>
        <w:tc>
          <w:tcPr>
            <w:tcW w:w="5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出让</w:t>
            </w:r>
          </w:p>
        </w:tc>
      </w:tr>
      <w:tr>
        <w:trPr>
          <w:trHeight w:val="26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5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住宅和配套设施</w:t>
            </w:r>
          </w:p>
        </w:tc>
      </w:tr>
      <w:tr>
        <w:trPr>
          <w:trHeight w:val="26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666666"/>
                <w:kern w:val="0"/>
                <w:sz w:val="20"/>
                <w:szCs w:val="20"/>
              </w:rPr>
              <w:t>国有建设用地使用权出让年期</w:t>
            </w:r>
          </w:p>
        </w:tc>
        <w:tc>
          <w:tcPr>
            <w:tcW w:w="5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至2068年12月29日止</w:t>
            </w:r>
          </w:p>
        </w:tc>
      </w:tr>
      <w:tr>
        <w:trPr>
          <w:trHeight w:val="1002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 用地规划技术指标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【依据《天颐桃源总平面图》（已于2006年经原长泰县建设局审批）等资料载明】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建筑密度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18.4</w:t>
            </w: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rPr>
          <w:trHeight w:val="125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绿地率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 w:val="20"/>
                <w:szCs w:val="20"/>
              </w:rPr>
              <w:t>40.5%</w:t>
            </w:r>
          </w:p>
        </w:tc>
      </w:tr>
      <w:tr>
        <w:trPr>
          <w:trHeight w:val="1348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Helvetica" w:hAnsi="Helvetica" w:eastAsia="宋体" w:cs="Helvetica"/>
                <w:color w:val="666666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20"/>
                <w:szCs w:val="20"/>
              </w:rPr>
              <w:t>其他介绍</w:t>
            </w:r>
          </w:p>
        </w:tc>
        <w:tc>
          <w:tcPr>
            <w:tcW w:w="68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</w:pPr>
            <w:bookmarkStart w:id="1" w:name="_Hlk141409690"/>
            <w:bookmarkEnd w:id="1"/>
            <w:bookmarkStart w:id="2" w:name="_Hlk141409753"/>
            <w:bookmarkEnd w:id="2"/>
            <w:r>
              <w:rPr>
                <w:rFonts w:hint="eastAsia" w:ascii="Helvetica" w:hAnsi="Helvetica" w:eastAsia="宋体" w:cs="Helvetica"/>
                <w:color w:val="666666"/>
                <w:kern w:val="0"/>
                <w:szCs w:val="21"/>
              </w:rPr>
              <w:t>天颐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桃源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Cs w:val="21"/>
              </w:rPr>
              <w:t>小区原拟分两期开发建设，其中一期项目已于2009年开发完成。二期项目用地即本次拍卖对象，目前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疑似存在问题如下：</w:t>
            </w:r>
          </w:p>
          <w:p>
            <w:pPr>
              <w:widowControl/>
              <w:spacing w:line="390" w:lineRule="atLeast"/>
              <w:jc w:val="left"/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1.早年县政府供地时有瑕疵，存在批甲供乙问题。</w:t>
            </w:r>
          </w:p>
          <w:p>
            <w:pPr>
              <w:widowControl/>
              <w:spacing w:line="390" w:lineRule="atLeast"/>
              <w:jc w:val="left"/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2.批准用途与实际用途不一致。</w:t>
            </w:r>
          </w:p>
          <w:p>
            <w:pPr>
              <w:widowControl/>
              <w:spacing w:line="390" w:lineRule="atLeast"/>
              <w:jc w:val="left"/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3.地块目前存在疑似闲置问题。</w:t>
            </w:r>
          </w:p>
          <w:p>
            <w:pPr>
              <w:widowControl/>
              <w:spacing w:line="390" w:lineRule="atLeast"/>
              <w:jc w:val="left"/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4.原规划容积率小于1.0，不符合当前政策</w:t>
            </w:r>
            <w:r>
              <w:rPr>
                <w:rFonts w:hint="eastAsia" w:ascii="Helvetica" w:hAnsi="Helvetica" w:eastAsia="宋体" w:cs="Helvetica"/>
                <w:color w:val="666666"/>
                <w:kern w:val="0"/>
                <w:szCs w:val="21"/>
                <w:lang w:val="en-US" w:eastAsia="zh-CN"/>
              </w:rPr>
              <w:t>。</w:t>
            </w:r>
          </w:p>
        </w:tc>
      </w:tr>
    </w:tbl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666666"/>
          <w:kern w:val="0"/>
          <w:szCs w:val="21"/>
        </w:rPr>
      </w:pPr>
      <w:r>
        <w:rPr>
          <w:rFonts w:ascii="Helvetica" w:hAnsi="Helvetica" w:eastAsia="宋体" w:cs="Helvetica"/>
          <w:color w:val="666666"/>
          <w:kern w:val="0"/>
          <w:szCs w:val="21"/>
        </w:rPr>
        <w:t> </w:t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666666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所展示的视频与照片仅作参考，具体以实际状况为准。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0"/>
    <w:rsid w:val="00054024"/>
    <w:rsid w:val="00074DB3"/>
    <w:rsid w:val="00076C5F"/>
    <w:rsid w:val="00084AB6"/>
    <w:rsid w:val="001778B1"/>
    <w:rsid w:val="001A3DA6"/>
    <w:rsid w:val="00275D21"/>
    <w:rsid w:val="002C4205"/>
    <w:rsid w:val="002E6555"/>
    <w:rsid w:val="00315E0A"/>
    <w:rsid w:val="003738E5"/>
    <w:rsid w:val="00571ACA"/>
    <w:rsid w:val="005F77DD"/>
    <w:rsid w:val="0078723C"/>
    <w:rsid w:val="00813BD6"/>
    <w:rsid w:val="00834A4C"/>
    <w:rsid w:val="00962FE7"/>
    <w:rsid w:val="009C0983"/>
    <w:rsid w:val="009C5C44"/>
    <w:rsid w:val="009F6A81"/>
    <w:rsid w:val="00AA2EB9"/>
    <w:rsid w:val="00AF6A20"/>
    <w:rsid w:val="00C14201"/>
    <w:rsid w:val="00CF5AF9"/>
    <w:rsid w:val="00DC12FB"/>
    <w:rsid w:val="00DD0830"/>
    <w:rsid w:val="00E843D3"/>
    <w:rsid w:val="00ED3D6D"/>
    <w:rsid w:val="72F931A4"/>
    <w:rsid w:val="7EFEBD79"/>
    <w:rsid w:val="EBD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241</Characters>
  <Lines>21</Lines>
  <Paragraphs>15</Paragraphs>
  <TotalTime>0</TotalTime>
  <ScaleCrop>false</ScaleCrop>
  <LinksUpToDate>false</LinksUpToDate>
  <CharactersWithSpaces>444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2024-03-15T02:30:00Z</dcterms:created>
  <dc:creator>xiaoya deng</dc:creator>
  <cp:lastModifiedBy>碗仔糕</cp:lastModifiedBy>
  <dcterms:modified xsi:type="dcterms:W3CDTF">2026-06-01T21:28:12Z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60385D0FE14C71B01D8DF9687EC4E082_42</vt:lpwstr>
  </property>
</Properties>
</file>