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auto"/>
        <w:ind w:firstLine="210" w:firstLineChars="58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ascii="仿宋" w:hAnsi="仿宋" w:eastAsia="仿宋"/>
          <w:b/>
          <w:bCs/>
          <w:sz w:val="36"/>
          <w:szCs w:val="36"/>
        </w:rPr>
        <w:t>送达方式确认书</w:t>
      </w:r>
    </w:p>
    <w:tbl>
      <w:tblPr>
        <w:tblStyle w:val="5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559"/>
        <w:gridCol w:w="3260"/>
        <w:gridCol w:w="4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案号</w:t>
            </w:r>
          </w:p>
        </w:tc>
        <w:tc>
          <w:tcPr>
            <w:tcW w:w="890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（202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</w:rPr>
              <w:t>）粤01破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245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告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知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事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项</w:t>
            </w:r>
          </w:p>
        </w:tc>
        <w:tc>
          <w:tcPr>
            <w:tcW w:w="8904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ind w:leftChars="0" w:firstLine="480" w:firstLineChars="200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val="en-US" w:eastAsia="zh-CN"/>
              </w:rPr>
              <w:t>1.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为便于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接收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广州市恒圣纺织服装有限公司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破产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清算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案件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（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下称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“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本案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”）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相关材料，保证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本案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顺利进行，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应当如实提供确切的送达地址。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 w:firstLine="480" w:firstLineChars="200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确认的送达地址适用于本案整个过程，自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eastAsia="zh-CN"/>
              </w:rPr>
              <w:t>广州市恒圣纺织服装有限公司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被人民法院裁定受理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破产清算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之日起至本案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破产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程序终结之日止。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 w:firstLine="480" w:firstLineChars="200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val="en-US" w:eastAsia="zh-CN"/>
              </w:rPr>
              <w:t>3.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如果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送达地址在本案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破产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程序终结前有变更，应当及时通过书面方式告知管理人变更后的送达地址。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  <w:lang w:val="en-US" w:eastAsia="zh-CN"/>
              </w:rPr>
              <w:t>4.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管理人将通过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提供的送达方式向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送达本案相关材料，如果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提供的送达方式不确切或不及时告知管理人变更后的送达方式，导致本案相关材料无法送达，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债权人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应自行承担由此可能产生的法律后果。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3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送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达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方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式</w:t>
            </w:r>
          </w:p>
        </w:tc>
        <w:tc>
          <w:tcPr>
            <w:tcW w:w="8904" w:type="dxa"/>
            <w:gridSpan w:val="3"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申报</w:t>
            </w:r>
            <w:r>
              <w:rPr>
                <w:rFonts w:ascii="仿宋" w:hAnsi="仿宋" w:eastAsia="仿宋"/>
                <w:sz w:val="24"/>
              </w:rPr>
              <w:t>人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邮寄送达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（必填）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收件人：</w:t>
            </w:r>
          </w:p>
        </w:tc>
        <w:tc>
          <w:tcPr>
            <w:tcW w:w="4085" w:type="dxa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45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收件地址：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</w:t>
            </w:r>
            <w:r>
              <w:rPr>
                <w:rFonts w:ascii="仿宋" w:hAnsi="仿宋" w:eastAsia="仿宋"/>
                <w:sz w:val="24"/>
              </w:rPr>
              <w:t>送达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（必填）</w:t>
            </w:r>
          </w:p>
        </w:tc>
        <w:tc>
          <w:tcPr>
            <w:tcW w:w="7345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</w:t>
            </w:r>
            <w:r>
              <w:rPr>
                <w:rFonts w:ascii="仿宋" w:hAnsi="仿宋" w:eastAsia="仿宋"/>
                <w:sz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135" w:type="dxa"/>
            <w:vMerge w:val="continue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微信送达</w:t>
            </w:r>
          </w:p>
        </w:tc>
        <w:tc>
          <w:tcPr>
            <w:tcW w:w="7345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微信号：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0" w:hRule="atLeast"/>
          <w:jc w:val="center"/>
        </w:trPr>
        <w:tc>
          <w:tcPr>
            <w:tcW w:w="113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债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权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人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确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认</w:t>
            </w:r>
          </w:p>
        </w:tc>
        <w:tc>
          <w:tcPr>
            <w:tcW w:w="890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ind w:firstLine="480" w:firstLineChars="200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本人/本单位已认真阅读本确认书的告知事项，提供了上栏送达方式，并保证所提供的送达方式各项内容是正确的、有效的。管理人按照上栏送达方式送达本案相关材料的，视为送达；如果因本人/本单位提供的送达方式不确切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、不准确、拒绝签收或者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未及时告知管理人变更后的送达方式，使本案相关材料通过上述方式无法送达的，本人/本单位自愿确认：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管理人通过邮寄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送达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方式送达的，相关文书退回之日视为送达之日；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管理人通过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电子送达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方式送达的，以管理人发出邮件/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短信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的当日作为送达之日。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 xml:space="preserve"> 因此造成的法律后果由本人/本单位自行承担。</w:t>
            </w:r>
          </w:p>
          <w:p>
            <w:pPr>
              <w:spacing w:line="420" w:lineRule="exact"/>
              <w:jc w:val="lef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24"/>
              </w:rPr>
              <w:t>申报</w:t>
            </w:r>
            <w:r>
              <w:rPr>
                <w:rFonts w:ascii="仿宋" w:hAnsi="仿宋" w:eastAsia="仿宋"/>
                <w:sz w:val="24"/>
              </w:rPr>
              <w:t>人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或授权代理人</w:t>
            </w:r>
            <w:r>
              <w:rPr>
                <w:rFonts w:hint="eastAsia" w:ascii="仿宋" w:hAnsi="仿宋" w:eastAsia="仿宋"/>
                <w:color w:val="232323"/>
                <w:kern w:val="0"/>
                <w:sz w:val="24"/>
              </w:rPr>
              <w:t>（盖章/签名）</w:t>
            </w: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：</w:t>
            </w:r>
          </w:p>
          <w:p>
            <w:pPr>
              <w:spacing w:line="420" w:lineRule="exact"/>
              <w:jc w:val="left"/>
              <w:rPr>
                <w:rFonts w:ascii="仿宋" w:hAnsi="仿宋" w:eastAsia="仿宋"/>
                <w:color w:val="232323"/>
                <w:kern w:val="0"/>
                <w:sz w:val="24"/>
              </w:rPr>
            </w:pPr>
          </w:p>
          <w:p>
            <w:pPr>
              <w:spacing w:line="420" w:lineRule="exact"/>
              <w:jc w:val="right"/>
              <w:rPr>
                <w:rFonts w:ascii="仿宋" w:hAnsi="仿宋" w:eastAsia="仿宋"/>
                <w:color w:val="232323"/>
                <w:kern w:val="0"/>
                <w:sz w:val="24"/>
              </w:rPr>
            </w:pPr>
            <w:r>
              <w:rPr>
                <w:rFonts w:ascii="仿宋" w:hAnsi="仿宋" w:eastAsia="仿宋"/>
                <w:color w:val="232323"/>
                <w:kern w:val="0"/>
                <w:sz w:val="24"/>
              </w:rPr>
              <w:t>年    月    日</w:t>
            </w:r>
          </w:p>
        </w:tc>
      </w:tr>
    </w:tbl>
    <w:p>
      <w:pPr>
        <w:spacing w:line="240" w:lineRule="auto"/>
        <w:rPr>
          <w:rFonts w:ascii="仿宋" w:hAnsi="仿宋" w:eastAsia="仿宋"/>
          <w:color w:val="232323"/>
          <w:kern w:val="0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386CFF"/>
    <w:multiLevelType w:val="multilevel"/>
    <w:tmpl w:val="40386CFF"/>
    <w:lvl w:ilvl="0" w:tentative="0">
      <w:start w:val="1"/>
      <w:numFmt w:val="decimal"/>
      <w:suff w:val="space"/>
      <w:lvlText w:val="%1."/>
      <w:lvlJc w:val="left"/>
      <w:pPr>
        <w:ind w:left="227" w:hanging="22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NWIzNmJlYzYxZjdiYTQ0NDljOThlOWEyYmM4MzAifQ=="/>
  </w:docVars>
  <w:rsids>
    <w:rsidRoot w:val="00172A27"/>
    <w:rsid w:val="00005220"/>
    <w:rsid w:val="000210AC"/>
    <w:rsid w:val="00021759"/>
    <w:rsid w:val="00023613"/>
    <w:rsid w:val="00052B2A"/>
    <w:rsid w:val="00060B79"/>
    <w:rsid w:val="000C2248"/>
    <w:rsid w:val="000D392C"/>
    <w:rsid w:val="000D6862"/>
    <w:rsid w:val="00100225"/>
    <w:rsid w:val="0010624C"/>
    <w:rsid w:val="00115F07"/>
    <w:rsid w:val="001236F2"/>
    <w:rsid w:val="00132583"/>
    <w:rsid w:val="001353E5"/>
    <w:rsid w:val="00172A27"/>
    <w:rsid w:val="001B4AB7"/>
    <w:rsid w:val="001D0C8C"/>
    <w:rsid w:val="001D5BC1"/>
    <w:rsid w:val="00223709"/>
    <w:rsid w:val="0022642B"/>
    <w:rsid w:val="00232E36"/>
    <w:rsid w:val="0025471E"/>
    <w:rsid w:val="002563BF"/>
    <w:rsid w:val="0025648A"/>
    <w:rsid w:val="002808C2"/>
    <w:rsid w:val="002B14E3"/>
    <w:rsid w:val="002D0D07"/>
    <w:rsid w:val="002D4C81"/>
    <w:rsid w:val="003155B6"/>
    <w:rsid w:val="00315C55"/>
    <w:rsid w:val="00324436"/>
    <w:rsid w:val="0035239C"/>
    <w:rsid w:val="00396933"/>
    <w:rsid w:val="003A7536"/>
    <w:rsid w:val="003D23A3"/>
    <w:rsid w:val="003E39F9"/>
    <w:rsid w:val="003F3B9D"/>
    <w:rsid w:val="004018FE"/>
    <w:rsid w:val="00422599"/>
    <w:rsid w:val="004436A4"/>
    <w:rsid w:val="00445811"/>
    <w:rsid w:val="0045168C"/>
    <w:rsid w:val="004852F3"/>
    <w:rsid w:val="004A4874"/>
    <w:rsid w:val="004C4756"/>
    <w:rsid w:val="004C736A"/>
    <w:rsid w:val="004D1485"/>
    <w:rsid w:val="004F0822"/>
    <w:rsid w:val="00501E59"/>
    <w:rsid w:val="00506010"/>
    <w:rsid w:val="0051115D"/>
    <w:rsid w:val="00520309"/>
    <w:rsid w:val="005348DD"/>
    <w:rsid w:val="00555137"/>
    <w:rsid w:val="00563EEA"/>
    <w:rsid w:val="0057222B"/>
    <w:rsid w:val="005B5BB7"/>
    <w:rsid w:val="005C26EE"/>
    <w:rsid w:val="00635A41"/>
    <w:rsid w:val="00640033"/>
    <w:rsid w:val="00686CF4"/>
    <w:rsid w:val="006A2169"/>
    <w:rsid w:val="006C5454"/>
    <w:rsid w:val="006D7705"/>
    <w:rsid w:val="007403FA"/>
    <w:rsid w:val="00754082"/>
    <w:rsid w:val="0075464A"/>
    <w:rsid w:val="0077244A"/>
    <w:rsid w:val="00784F4E"/>
    <w:rsid w:val="00786732"/>
    <w:rsid w:val="00795F69"/>
    <w:rsid w:val="007D5D98"/>
    <w:rsid w:val="007F766B"/>
    <w:rsid w:val="00823B43"/>
    <w:rsid w:val="00885644"/>
    <w:rsid w:val="00892A8F"/>
    <w:rsid w:val="008932A9"/>
    <w:rsid w:val="008A2995"/>
    <w:rsid w:val="008B6FB7"/>
    <w:rsid w:val="008B7E8F"/>
    <w:rsid w:val="008D12AE"/>
    <w:rsid w:val="008F2C33"/>
    <w:rsid w:val="009221DC"/>
    <w:rsid w:val="00930AEE"/>
    <w:rsid w:val="00935ADC"/>
    <w:rsid w:val="0095200A"/>
    <w:rsid w:val="00971846"/>
    <w:rsid w:val="009A401B"/>
    <w:rsid w:val="009A4DD8"/>
    <w:rsid w:val="009E3422"/>
    <w:rsid w:val="009E5AB6"/>
    <w:rsid w:val="00A16E43"/>
    <w:rsid w:val="00A224BC"/>
    <w:rsid w:val="00A35252"/>
    <w:rsid w:val="00A474EC"/>
    <w:rsid w:val="00A535B7"/>
    <w:rsid w:val="00A54ED4"/>
    <w:rsid w:val="00AA5C93"/>
    <w:rsid w:val="00AB45E7"/>
    <w:rsid w:val="00AC42B2"/>
    <w:rsid w:val="00AD68ED"/>
    <w:rsid w:val="00B113F0"/>
    <w:rsid w:val="00B26649"/>
    <w:rsid w:val="00B3018E"/>
    <w:rsid w:val="00B36412"/>
    <w:rsid w:val="00B4629B"/>
    <w:rsid w:val="00B71E6E"/>
    <w:rsid w:val="00B85594"/>
    <w:rsid w:val="00B92F4F"/>
    <w:rsid w:val="00B95D58"/>
    <w:rsid w:val="00B97418"/>
    <w:rsid w:val="00BB46E2"/>
    <w:rsid w:val="00BE6999"/>
    <w:rsid w:val="00C17522"/>
    <w:rsid w:val="00C17D67"/>
    <w:rsid w:val="00C73020"/>
    <w:rsid w:val="00C82623"/>
    <w:rsid w:val="00CC03D5"/>
    <w:rsid w:val="00CE3A80"/>
    <w:rsid w:val="00CE5ED7"/>
    <w:rsid w:val="00CE6521"/>
    <w:rsid w:val="00D148D5"/>
    <w:rsid w:val="00D1494C"/>
    <w:rsid w:val="00D16731"/>
    <w:rsid w:val="00D568E6"/>
    <w:rsid w:val="00D62C67"/>
    <w:rsid w:val="00D740F1"/>
    <w:rsid w:val="00DA209B"/>
    <w:rsid w:val="00DE2F95"/>
    <w:rsid w:val="00DF6912"/>
    <w:rsid w:val="00E13AEA"/>
    <w:rsid w:val="00E23F7A"/>
    <w:rsid w:val="00E671E4"/>
    <w:rsid w:val="00E912C6"/>
    <w:rsid w:val="00E96501"/>
    <w:rsid w:val="00EB74D5"/>
    <w:rsid w:val="00ED007E"/>
    <w:rsid w:val="00EE4923"/>
    <w:rsid w:val="00EF6BA9"/>
    <w:rsid w:val="00F15AF4"/>
    <w:rsid w:val="00F21D3F"/>
    <w:rsid w:val="00F324F0"/>
    <w:rsid w:val="00F3486A"/>
    <w:rsid w:val="00F42F3E"/>
    <w:rsid w:val="00F63F37"/>
    <w:rsid w:val="00FB73A1"/>
    <w:rsid w:val="00FC5238"/>
    <w:rsid w:val="00FC7028"/>
    <w:rsid w:val="00FD422D"/>
    <w:rsid w:val="00FE031C"/>
    <w:rsid w:val="00FE25A5"/>
    <w:rsid w:val="0D3A3793"/>
    <w:rsid w:val="0EA04EBA"/>
    <w:rsid w:val="0EEE56A4"/>
    <w:rsid w:val="0F702077"/>
    <w:rsid w:val="0F93719A"/>
    <w:rsid w:val="115D2BD1"/>
    <w:rsid w:val="1DFD0AA7"/>
    <w:rsid w:val="20CD068A"/>
    <w:rsid w:val="267C0F51"/>
    <w:rsid w:val="29155137"/>
    <w:rsid w:val="36083F6E"/>
    <w:rsid w:val="394A2C6F"/>
    <w:rsid w:val="3A37384A"/>
    <w:rsid w:val="40F91542"/>
    <w:rsid w:val="442556EA"/>
    <w:rsid w:val="451F3B93"/>
    <w:rsid w:val="54060BE6"/>
    <w:rsid w:val="548E5663"/>
    <w:rsid w:val="57F5075F"/>
    <w:rsid w:val="60461C1B"/>
    <w:rsid w:val="606932A2"/>
    <w:rsid w:val="6CF7440C"/>
    <w:rsid w:val="6E756C6C"/>
    <w:rsid w:val="734E24D3"/>
    <w:rsid w:val="76355AC7"/>
    <w:rsid w:val="7BCE2B5F"/>
    <w:rsid w:val="EE4FD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脚 字符"/>
    <w:link w:val="3"/>
    <w:qFormat/>
    <w:uiPriority w:val="99"/>
    <w:rPr>
      <w:kern w:val="2"/>
      <w:sz w:val="18"/>
      <w:szCs w:val="24"/>
    </w:rPr>
  </w:style>
  <w:style w:type="character" w:customStyle="1" w:styleId="9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613</Words>
  <Characters>622</Characters>
  <Lines>1</Lines>
  <Paragraphs>1</Paragraphs>
  <TotalTime>9</TotalTime>
  <ScaleCrop>false</ScaleCrop>
  <LinksUpToDate>false</LinksUpToDate>
  <CharactersWithSpaces>650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2021-06-17T18:13:00Z</dcterms:created>
  <dc:creator>fengzhiyunduan</dc:creator>
  <cp:lastModifiedBy>陈律师</cp:lastModifiedBy>
  <cp:lastPrinted>2013-06-30T11:25:00Z</cp:lastPrinted>
  <dcterms:modified xsi:type="dcterms:W3CDTF">2026-05-26T09:45:57Z</dcterms:modified>
  <dc:title>债 权 申 报 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commondata">
    <vt:lpwstr>eyJoZGlkIjoiNmQyZTBlZjJhMGY3MGEyNzU2MDZmNGFkZDIwOTgxODAifQ==</vt:lpwstr>
  </property>
  <property fmtid="{D5CDD505-2E9C-101B-9397-08002B2CF9AE}" pid="4" name="ICV">
    <vt:lpwstr>34714CE866D84418BE4F5D0B99C740A6</vt:lpwstr>
  </property>
  <property fmtid="{D5CDD505-2E9C-101B-9397-08002B2CF9AE}" pid="5" name="KSOTemplateDocerSaveRecord">
    <vt:lpwstr>eyJoZGlkIjoiOWQ2ZWExMDIwMTAyNTlkY2I3MDQ0MGE2NzkwYzQ5NGQiLCJ1c2VySWQiOiIzMTE4MTE2MjQifQ==</vt:lpwstr>
  </property>
</Properties>
</file>