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15AB9">
      <w:pPr>
        <w:pStyle w:val="5"/>
        <w:widowControl/>
        <w:spacing w:line="400" w:lineRule="exact"/>
        <w:jc w:val="center"/>
        <w:rPr>
          <w:rFonts w:hint="eastAsia" w:ascii="仿宋" w:hAnsi="仿宋" w:eastAsia="仿宋" w:cs="仿宋"/>
          <w:sz w:val="32"/>
          <w:szCs w:val="32"/>
          <w:lang w:val="en-US" w:eastAsia="zh-CN"/>
        </w:rPr>
      </w:pPr>
      <w:bookmarkStart w:id="1" w:name="_GoBack"/>
      <w:r>
        <w:rPr>
          <w:rFonts w:hint="eastAsia" w:ascii="仿宋" w:hAnsi="仿宋" w:eastAsia="仿宋" w:cs="仿宋"/>
          <w:sz w:val="32"/>
          <w:szCs w:val="32"/>
          <w:lang w:val="en-US" w:eastAsia="zh-CN"/>
        </w:rPr>
        <w:t>评分细则</w:t>
      </w:r>
    </w:p>
    <w:p w14:paraId="3E61C097">
      <w:pPr>
        <w:pStyle w:val="5"/>
        <w:widowControl/>
        <w:spacing w:line="400" w:lineRule="exact"/>
        <w:rPr>
          <w:rFonts w:hint="eastAsia" w:ascii="仿宋" w:hAnsi="仿宋" w:eastAsia="仿宋" w:cs="仿宋"/>
          <w:color w:val="000000"/>
          <w:sz w:val="32"/>
          <w:szCs w:val="32"/>
          <w:lang w:val="en-US" w:eastAsia="zh-CN"/>
        </w:rPr>
      </w:pPr>
      <w:r>
        <w:rPr>
          <w:rStyle w:val="8"/>
          <w:rFonts w:hint="eastAsia" w:ascii="仿宋" w:hAnsi="仿宋" w:eastAsia="仿宋" w:cs="仿宋"/>
          <w:color w:val="000000"/>
          <w:sz w:val="32"/>
          <w:szCs w:val="32"/>
          <w:shd w:val="clear" w:color="auto" w:fill="FFFFFF"/>
          <w:lang w:val="en-US" w:eastAsia="zh-CN"/>
        </w:rPr>
        <w:t>本项目</w:t>
      </w:r>
      <w:r>
        <w:rPr>
          <w:rStyle w:val="8"/>
          <w:rFonts w:hint="eastAsia" w:ascii="仿宋" w:hAnsi="仿宋" w:eastAsia="仿宋" w:cs="仿宋"/>
          <w:color w:val="000000"/>
          <w:sz w:val="32"/>
          <w:szCs w:val="32"/>
          <w:shd w:val="clear" w:color="auto" w:fill="FFFFFF"/>
        </w:rPr>
        <w:t>采用综合评分法</w:t>
      </w:r>
      <w:r>
        <w:rPr>
          <w:rStyle w:val="8"/>
          <w:rFonts w:hint="eastAsia" w:ascii="仿宋" w:hAnsi="仿宋" w:eastAsia="仿宋" w:cs="仿宋"/>
          <w:color w:val="000000"/>
          <w:sz w:val="32"/>
          <w:szCs w:val="32"/>
          <w:shd w:val="clear" w:color="auto" w:fill="FFFFFF"/>
          <w:lang w:eastAsia="zh-CN"/>
        </w:rPr>
        <w:t>，</w:t>
      </w:r>
      <w:r>
        <w:rPr>
          <w:rStyle w:val="8"/>
          <w:rFonts w:hint="eastAsia" w:ascii="仿宋" w:hAnsi="仿宋" w:eastAsia="仿宋" w:cs="仿宋"/>
          <w:color w:val="000000"/>
          <w:sz w:val="32"/>
          <w:szCs w:val="32"/>
          <w:shd w:val="clear" w:color="auto" w:fill="FFFFFF"/>
          <w:lang w:val="en-US" w:eastAsia="zh-CN"/>
        </w:rPr>
        <w:t>具体</w:t>
      </w:r>
      <w:r>
        <w:rPr>
          <w:rFonts w:hint="eastAsia" w:ascii="仿宋" w:hAnsi="仿宋" w:eastAsia="仿宋" w:cs="仿宋"/>
          <w:color w:val="000000"/>
          <w:sz w:val="32"/>
          <w:szCs w:val="32"/>
        </w:rPr>
        <w:t>评分标准</w:t>
      </w:r>
      <w:r>
        <w:rPr>
          <w:rFonts w:hint="eastAsia" w:ascii="仿宋" w:hAnsi="仿宋" w:eastAsia="仿宋" w:cs="仿宋"/>
          <w:color w:val="000000"/>
          <w:sz w:val="32"/>
          <w:szCs w:val="32"/>
          <w:lang w:val="en-US" w:eastAsia="zh-CN"/>
        </w:rPr>
        <w:t>如下：</w:t>
      </w:r>
    </w:p>
    <w:p w14:paraId="79849CE9">
      <w:pPr>
        <w:pStyle w:val="5"/>
        <w:widowControl/>
        <w:spacing w:line="4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提交文件满足招募公告全部实质性要求，且按照评审因素评审得分（即评分总得分）最高的报名单位为被招募候选人。</w:t>
      </w:r>
    </w:p>
    <w:p w14:paraId="64F3353F">
      <w:pPr>
        <w:pStyle w:val="5"/>
        <w:widowControl/>
        <w:spacing w:line="4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每个报名单位的评分总得分F＝F1＋F2，其中：F1指价格项评审因素得分、F2指综合项评审因素得分，F1＋F2 =100分（满分时）。</w:t>
      </w:r>
    </w:p>
    <w:p w14:paraId="2340E25F">
      <w:pPr>
        <w:pStyle w:val="5"/>
        <w:widowControl/>
        <w:spacing w:line="400" w:lineRule="exact"/>
        <w:ind w:firstLine="640" w:firstLineChars="200"/>
        <w:outlineLvl w:val="4"/>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各项评审因素的设置如下：</w:t>
      </w:r>
    </w:p>
    <w:p w14:paraId="7090E07B">
      <w:pPr>
        <w:pStyle w:val="5"/>
        <w:widowControl/>
        <w:spacing w:line="4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①价格项（F1）满分为</w:t>
      </w:r>
      <w:r>
        <w:rPr>
          <w:rFonts w:hint="eastAsia" w:ascii="仿宋" w:hAnsi="仿宋" w:eastAsia="仿宋" w:cs="仿宋"/>
          <w:color w:val="000000"/>
          <w:sz w:val="32"/>
          <w:szCs w:val="32"/>
          <w:u w:val="single"/>
        </w:rPr>
        <w:t>20</w:t>
      </w:r>
      <w:r>
        <w:rPr>
          <w:rFonts w:hint="eastAsia" w:ascii="仿宋" w:hAnsi="仿宋" w:eastAsia="仿宋" w:cs="仿宋"/>
          <w:color w:val="000000"/>
          <w:sz w:val="32"/>
          <w:szCs w:val="32"/>
        </w:rPr>
        <w:t>分。</w:t>
      </w:r>
    </w:p>
    <w:tbl>
      <w:tblPr>
        <w:tblStyle w:val="6"/>
        <w:tblW w:w="593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1302"/>
        <w:gridCol w:w="7664"/>
      </w:tblGrid>
      <w:tr w14:paraId="59092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 w:hRule="atLeast"/>
          <w:jc w:val="center"/>
        </w:trPr>
        <w:tc>
          <w:tcPr>
            <w:tcW w:w="571" w:type="pct"/>
            <w:tcMar>
              <w:left w:w="108" w:type="dxa"/>
              <w:right w:w="108" w:type="dxa"/>
            </w:tcMar>
            <w:vAlign w:val="center"/>
          </w:tcPr>
          <w:p w14:paraId="6BFDFC35">
            <w:pPr>
              <w:widowControl/>
              <w:spacing w:line="400" w:lineRule="exact"/>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项目</w:t>
            </w:r>
          </w:p>
        </w:tc>
        <w:tc>
          <w:tcPr>
            <w:tcW w:w="643" w:type="pct"/>
            <w:tcMar>
              <w:left w:w="108" w:type="dxa"/>
              <w:right w:w="108" w:type="dxa"/>
            </w:tcMar>
            <w:vAlign w:val="center"/>
          </w:tcPr>
          <w:p w14:paraId="48B4F533">
            <w:pPr>
              <w:widowControl/>
              <w:spacing w:line="400" w:lineRule="exact"/>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分值</w:t>
            </w:r>
          </w:p>
        </w:tc>
        <w:tc>
          <w:tcPr>
            <w:tcW w:w="3786" w:type="pct"/>
            <w:tcMar>
              <w:left w:w="108" w:type="dxa"/>
              <w:right w:w="108" w:type="dxa"/>
            </w:tcMar>
            <w:vAlign w:val="center"/>
          </w:tcPr>
          <w:p w14:paraId="52C216D0">
            <w:pPr>
              <w:widowControl/>
              <w:spacing w:line="400" w:lineRule="exact"/>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描述</w:t>
            </w:r>
          </w:p>
        </w:tc>
      </w:tr>
      <w:tr w14:paraId="690CD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1" w:hRule="atLeast"/>
          <w:jc w:val="center"/>
        </w:trPr>
        <w:tc>
          <w:tcPr>
            <w:tcW w:w="571" w:type="pct"/>
            <w:tcMar>
              <w:left w:w="108" w:type="dxa"/>
              <w:right w:w="108" w:type="dxa"/>
            </w:tcMar>
            <w:vAlign w:val="center"/>
          </w:tcPr>
          <w:p w14:paraId="3E9DDAED">
            <w:pPr>
              <w:widowControl/>
              <w:spacing w:line="400" w:lineRule="exact"/>
              <w:jc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1.报价情况</w:t>
            </w:r>
          </w:p>
        </w:tc>
        <w:tc>
          <w:tcPr>
            <w:tcW w:w="643" w:type="pct"/>
            <w:tcMar>
              <w:left w:w="108" w:type="dxa"/>
              <w:right w:w="108" w:type="dxa"/>
            </w:tcMar>
            <w:vAlign w:val="center"/>
          </w:tcPr>
          <w:p w14:paraId="7E2850B3">
            <w:pPr>
              <w:widowControl/>
              <w:spacing w:line="400" w:lineRule="exact"/>
              <w:jc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2</w:t>
            </w:r>
            <w:r>
              <w:rPr>
                <w:rFonts w:hint="eastAsia" w:ascii="仿宋" w:hAnsi="仿宋" w:eastAsia="仿宋" w:cs="仿宋"/>
                <w:color w:val="000000"/>
                <w:kern w:val="0"/>
                <w:sz w:val="32"/>
                <w:szCs w:val="32"/>
                <w:lang w:bidi="ar"/>
              </w:rPr>
              <w:t>0</w:t>
            </w:r>
          </w:p>
        </w:tc>
        <w:tc>
          <w:tcPr>
            <w:tcW w:w="3786" w:type="pct"/>
            <w:tcMar>
              <w:left w:w="108" w:type="dxa"/>
              <w:right w:w="108" w:type="dxa"/>
            </w:tcMar>
            <w:vAlign w:val="center"/>
          </w:tcPr>
          <w:p w14:paraId="30B227F4">
            <w:pPr>
              <w:widowControl/>
              <w:spacing w:line="40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根据报名单位的报价进行评分：报名单位</w:t>
            </w:r>
            <w:r>
              <w:rPr>
                <w:rFonts w:hint="eastAsia" w:ascii="仿宋" w:hAnsi="仿宋" w:eastAsia="仿宋" w:cs="仿宋"/>
                <w:color w:val="000000"/>
                <w:kern w:val="0"/>
                <w:sz w:val="32"/>
                <w:szCs w:val="32"/>
              </w:rPr>
              <w:t>的</w:t>
            </w:r>
            <w:r>
              <w:rPr>
                <w:rFonts w:hint="eastAsia" w:ascii="仿宋" w:hAnsi="仿宋" w:eastAsia="仿宋" w:cs="仿宋"/>
                <w:color w:val="000000"/>
                <w:kern w:val="0"/>
                <w:sz w:val="32"/>
                <w:szCs w:val="32"/>
              </w:rPr>
              <w:t>报价</w:t>
            </w:r>
            <w:r>
              <w:rPr>
                <w:rFonts w:hint="eastAsia" w:ascii="仿宋" w:hAnsi="仿宋" w:eastAsia="仿宋" w:cs="仿宋"/>
                <w:color w:val="000000"/>
                <w:kern w:val="0"/>
                <w:sz w:val="32"/>
                <w:szCs w:val="32"/>
              </w:rPr>
              <w:t>符合</w:t>
            </w:r>
            <w:r>
              <w:rPr>
                <w:rFonts w:hint="eastAsia" w:ascii="仿宋" w:hAnsi="仿宋" w:eastAsia="仿宋" w:cs="仿宋"/>
                <w:color w:val="000000"/>
                <w:kern w:val="0"/>
                <w:sz w:val="32"/>
                <w:szCs w:val="32"/>
              </w:rPr>
              <w:t>招募文件管理规定的，得2</w:t>
            </w:r>
            <w:r>
              <w:rPr>
                <w:rFonts w:hint="eastAsia" w:ascii="仿宋" w:hAnsi="仿宋" w:eastAsia="仿宋" w:cs="仿宋"/>
                <w:color w:val="000000"/>
                <w:kern w:val="0"/>
                <w:sz w:val="32"/>
                <w:szCs w:val="32"/>
              </w:rPr>
              <w:t>0</w:t>
            </w:r>
            <w:r>
              <w:rPr>
                <w:rFonts w:hint="eastAsia" w:ascii="仿宋" w:hAnsi="仿宋" w:eastAsia="仿宋" w:cs="仿宋"/>
                <w:color w:val="000000"/>
                <w:kern w:val="0"/>
                <w:sz w:val="32"/>
                <w:szCs w:val="32"/>
              </w:rPr>
              <w:t>分；不符招募文件管理规定的得0分。</w:t>
            </w:r>
          </w:p>
        </w:tc>
      </w:tr>
    </w:tbl>
    <w:p w14:paraId="5299F6A1">
      <w:pPr>
        <w:pStyle w:val="5"/>
        <w:widowControl/>
        <w:spacing w:line="4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②综合项（F</w:t>
      </w:r>
      <w:r>
        <w:rPr>
          <w:rFonts w:hint="eastAsia" w:ascii="仿宋" w:hAnsi="仿宋" w:eastAsia="仿宋" w:cs="仿宋"/>
          <w:color w:val="000000"/>
          <w:sz w:val="32"/>
          <w:szCs w:val="32"/>
        </w:rPr>
        <w:t>2</w:t>
      </w:r>
      <w:r>
        <w:rPr>
          <w:rFonts w:hint="eastAsia" w:ascii="仿宋" w:hAnsi="仿宋" w:eastAsia="仿宋" w:cs="仿宋"/>
          <w:color w:val="000000"/>
          <w:sz w:val="32"/>
          <w:szCs w:val="32"/>
        </w:rPr>
        <w:t>）满分为</w:t>
      </w:r>
      <w:r>
        <w:rPr>
          <w:rFonts w:hint="eastAsia" w:ascii="仿宋" w:hAnsi="仿宋" w:eastAsia="仿宋" w:cs="仿宋"/>
          <w:color w:val="000000"/>
          <w:sz w:val="32"/>
          <w:szCs w:val="32"/>
          <w:u w:val="single"/>
        </w:rPr>
        <w:t>8</w:t>
      </w:r>
      <w:r>
        <w:rPr>
          <w:rFonts w:hint="eastAsia" w:ascii="仿宋" w:hAnsi="仿宋" w:eastAsia="仿宋" w:cs="仿宋"/>
          <w:color w:val="000000"/>
          <w:sz w:val="32"/>
          <w:szCs w:val="32"/>
          <w:u w:val="single"/>
        </w:rPr>
        <w:t>0</w:t>
      </w:r>
      <w:r>
        <w:rPr>
          <w:rFonts w:hint="eastAsia" w:ascii="仿宋" w:hAnsi="仿宋" w:eastAsia="仿宋" w:cs="仿宋"/>
          <w:color w:val="000000"/>
          <w:sz w:val="32"/>
          <w:szCs w:val="32"/>
        </w:rPr>
        <w:t>分。</w:t>
      </w:r>
    </w:p>
    <w:tbl>
      <w:tblPr>
        <w:tblStyle w:val="6"/>
        <w:tblW w:w="98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83"/>
        <w:gridCol w:w="963"/>
        <w:gridCol w:w="7825"/>
      </w:tblGrid>
      <w:tr w14:paraId="2CC63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3" w:type="dxa"/>
          </w:tcPr>
          <w:p w14:paraId="47E2A396">
            <w:pPr>
              <w:widowControl/>
              <w:spacing w:line="400" w:lineRule="exact"/>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项目</w:t>
            </w:r>
          </w:p>
        </w:tc>
        <w:tc>
          <w:tcPr>
            <w:tcW w:w="963" w:type="dxa"/>
          </w:tcPr>
          <w:p w14:paraId="0B7E4329">
            <w:pPr>
              <w:widowControl/>
              <w:spacing w:line="400" w:lineRule="exact"/>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分值</w:t>
            </w:r>
          </w:p>
        </w:tc>
        <w:tc>
          <w:tcPr>
            <w:tcW w:w="7825" w:type="dxa"/>
          </w:tcPr>
          <w:p w14:paraId="1E07D4CC">
            <w:pPr>
              <w:widowControl/>
              <w:spacing w:line="400" w:lineRule="exact"/>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描述</w:t>
            </w:r>
          </w:p>
        </w:tc>
      </w:tr>
      <w:tr w14:paraId="3DC13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3" w:type="dxa"/>
            <w:vAlign w:val="center"/>
          </w:tcPr>
          <w:p w14:paraId="05787509">
            <w:pPr>
              <w:widowControl/>
              <w:spacing w:line="400" w:lineRule="exact"/>
              <w:jc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1.类似项目业绩</w:t>
            </w:r>
          </w:p>
        </w:tc>
        <w:tc>
          <w:tcPr>
            <w:tcW w:w="963" w:type="dxa"/>
            <w:vAlign w:val="center"/>
          </w:tcPr>
          <w:p w14:paraId="5ACC0B59">
            <w:pPr>
              <w:widowControl/>
              <w:spacing w:line="400" w:lineRule="exact"/>
              <w:jc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60</w:t>
            </w:r>
          </w:p>
        </w:tc>
        <w:tc>
          <w:tcPr>
            <w:tcW w:w="7825" w:type="dxa"/>
          </w:tcPr>
          <w:p w14:paraId="5FD963E7">
            <w:pPr>
              <w:widowControl/>
              <w:spacing w:line="400" w:lineRule="exact"/>
              <w:ind w:firstLine="640" w:firstLineChars="200"/>
              <w:rPr>
                <w:rFonts w:hint="eastAsia" w:ascii="仿宋" w:hAnsi="仿宋" w:eastAsia="仿宋" w:cs="仿宋"/>
                <w:bCs/>
                <w:color w:val="000000"/>
                <w:sz w:val="32"/>
                <w:szCs w:val="32"/>
              </w:rPr>
            </w:pPr>
            <w:r>
              <w:rPr>
                <w:rFonts w:hint="eastAsia" w:ascii="仿宋" w:hAnsi="仿宋" w:eastAsia="仿宋" w:cs="仿宋"/>
                <w:color w:val="000000"/>
                <w:sz w:val="32"/>
                <w:szCs w:val="32"/>
              </w:rPr>
              <w:t>（1）报名单位</w:t>
            </w:r>
            <w:r>
              <w:rPr>
                <w:rFonts w:hint="eastAsia" w:ascii="仿宋" w:hAnsi="仿宋" w:eastAsia="仿宋" w:cs="仿宋"/>
                <w:bCs/>
                <w:color w:val="000000"/>
                <w:sz w:val="32"/>
                <w:szCs w:val="32"/>
              </w:rPr>
              <w:t>近五年完成过一个房屋建筑项目</w:t>
            </w:r>
            <w:r>
              <w:rPr>
                <w:rFonts w:hint="eastAsia" w:ascii="仿宋" w:hAnsi="仿宋" w:eastAsia="仿宋" w:cs="仿宋"/>
                <w:b/>
                <w:bCs/>
                <w:color w:val="000000"/>
                <w:sz w:val="32"/>
                <w:szCs w:val="32"/>
              </w:rPr>
              <w:t>代建管理业绩或</w:t>
            </w:r>
            <w:bookmarkStart w:id="0" w:name="OLE_LINK1"/>
            <w:r>
              <w:rPr>
                <w:rFonts w:hint="eastAsia" w:ascii="仿宋" w:hAnsi="仿宋" w:eastAsia="仿宋" w:cs="仿宋"/>
                <w:b/>
                <w:bCs/>
                <w:color w:val="000000"/>
                <w:sz w:val="32"/>
                <w:szCs w:val="32"/>
              </w:rPr>
              <w:t>房地产开发管理业绩</w:t>
            </w:r>
            <w:bookmarkEnd w:id="0"/>
            <w:r>
              <w:rPr>
                <w:rFonts w:hint="eastAsia" w:ascii="仿宋" w:hAnsi="仿宋" w:eastAsia="仿宋" w:cs="仿宋"/>
                <w:b/>
                <w:bCs/>
                <w:color w:val="000000"/>
                <w:sz w:val="32"/>
                <w:szCs w:val="32"/>
              </w:rPr>
              <w:t>的</w:t>
            </w:r>
            <w:r>
              <w:rPr>
                <w:rFonts w:hint="eastAsia" w:ascii="仿宋" w:hAnsi="仿宋" w:eastAsia="仿宋" w:cs="仿宋"/>
                <w:color w:val="000000"/>
                <w:sz w:val="32"/>
                <w:szCs w:val="32"/>
              </w:rPr>
              <w:t>类似项目业绩（单个项目总建筑面积</w:t>
            </w:r>
            <w:r>
              <w:rPr>
                <w:rFonts w:hint="eastAsia" w:ascii="仿宋" w:hAnsi="仿宋" w:eastAsia="仿宋" w:cs="仿宋"/>
                <w:color w:val="000000"/>
                <w:sz w:val="32"/>
                <w:szCs w:val="32"/>
              </w:rPr>
              <w:t>3</w:t>
            </w:r>
            <w:r>
              <w:rPr>
                <w:rFonts w:hint="eastAsia" w:ascii="仿宋" w:hAnsi="仿宋" w:eastAsia="仿宋" w:cs="仿宋"/>
                <w:color w:val="000000"/>
                <w:sz w:val="32"/>
                <w:szCs w:val="32"/>
              </w:rPr>
              <w:t>万平方米及以上的房屋建筑工程）得基本分</w:t>
            </w:r>
            <w:r>
              <w:rPr>
                <w:rFonts w:hint="eastAsia" w:ascii="仿宋" w:hAnsi="仿宋" w:eastAsia="仿宋" w:cs="仿宋"/>
                <w:color w:val="000000"/>
                <w:sz w:val="32"/>
                <w:szCs w:val="32"/>
              </w:rPr>
              <w:t>10</w:t>
            </w:r>
            <w:r>
              <w:rPr>
                <w:rFonts w:hint="eastAsia" w:ascii="仿宋" w:hAnsi="仿宋" w:eastAsia="仿宋" w:cs="仿宋"/>
                <w:color w:val="000000"/>
                <w:sz w:val="32"/>
                <w:szCs w:val="32"/>
              </w:rPr>
              <w:t>分。在此基础上，每增加一个工程项目另加</w:t>
            </w:r>
            <w:r>
              <w:rPr>
                <w:rFonts w:hint="eastAsia" w:ascii="仿宋" w:hAnsi="仿宋" w:eastAsia="仿宋" w:cs="仿宋"/>
                <w:color w:val="000000"/>
                <w:sz w:val="32"/>
                <w:szCs w:val="32"/>
              </w:rPr>
              <w:t>10</w:t>
            </w:r>
            <w:r>
              <w:rPr>
                <w:rFonts w:hint="eastAsia" w:ascii="仿宋" w:hAnsi="仿宋" w:eastAsia="仿宋" w:cs="仿宋"/>
                <w:color w:val="000000"/>
                <w:sz w:val="32"/>
                <w:szCs w:val="32"/>
              </w:rPr>
              <w:t>分。本项</w:t>
            </w:r>
            <w:r>
              <w:rPr>
                <w:rFonts w:hint="eastAsia" w:ascii="仿宋" w:hAnsi="仿宋" w:eastAsia="仿宋" w:cs="仿宋"/>
                <w:bCs/>
                <w:color w:val="000000"/>
                <w:sz w:val="32"/>
                <w:szCs w:val="32"/>
              </w:rPr>
              <w:t>满分</w:t>
            </w:r>
            <w:r>
              <w:rPr>
                <w:rFonts w:hint="eastAsia" w:ascii="仿宋" w:hAnsi="仿宋" w:eastAsia="仿宋" w:cs="仿宋"/>
                <w:bCs/>
                <w:color w:val="000000"/>
                <w:sz w:val="32"/>
                <w:szCs w:val="32"/>
              </w:rPr>
              <w:t>30</w:t>
            </w:r>
            <w:r>
              <w:rPr>
                <w:rFonts w:hint="eastAsia" w:ascii="仿宋" w:hAnsi="仿宋" w:eastAsia="仿宋" w:cs="仿宋"/>
                <w:bCs/>
                <w:color w:val="000000"/>
                <w:sz w:val="32"/>
                <w:szCs w:val="32"/>
              </w:rPr>
              <w:t>分。</w:t>
            </w:r>
          </w:p>
          <w:p w14:paraId="4EEB3E9A">
            <w:pPr>
              <w:widowControl/>
              <w:spacing w:line="4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（2）在（1）得分基础上，报名单位近五年完成的</w:t>
            </w:r>
            <w:r>
              <w:rPr>
                <w:rFonts w:hint="eastAsia" w:ascii="仿宋" w:hAnsi="仿宋" w:eastAsia="仿宋" w:cs="仿宋"/>
                <w:b/>
                <w:color w:val="000000"/>
                <w:sz w:val="32"/>
                <w:szCs w:val="32"/>
              </w:rPr>
              <w:t>房屋建筑项目代建管理业绩或房地产开发管理业绩的</w:t>
            </w:r>
            <w:r>
              <w:rPr>
                <w:rFonts w:hint="eastAsia" w:ascii="仿宋" w:hAnsi="仿宋" w:eastAsia="仿宋" w:cs="仿宋"/>
                <w:color w:val="000000"/>
                <w:sz w:val="32"/>
                <w:szCs w:val="32"/>
              </w:rPr>
              <w:t>类似项目业绩（单个项目总建筑面积</w:t>
            </w:r>
            <w:r>
              <w:rPr>
                <w:rFonts w:hint="eastAsia" w:ascii="仿宋" w:hAnsi="仿宋" w:eastAsia="仿宋" w:cs="仿宋"/>
                <w:color w:val="000000"/>
                <w:sz w:val="32"/>
                <w:szCs w:val="32"/>
              </w:rPr>
              <w:t>3</w:t>
            </w:r>
            <w:r>
              <w:rPr>
                <w:rFonts w:hint="eastAsia" w:ascii="仿宋" w:hAnsi="仿宋" w:eastAsia="仿宋" w:cs="仿宋"/>
                <w:color w:val="000000"/>
                <w:sz w:val="32"/>
                <w:szCs w:val="32"/>
              </w:rPr>
              <w:t>万平方米及以上的房屋建筑工程）获得</w:t>
            </w:r>
            <w:r>
              <w:rPr>
                <w:rFonts w:hint="eastAsia" w:ascii="仿宋" w:hAnsi="仿宋" w:eastAsia="仿宋" w:cs="仿宋"/>
                <w:b/>
                <w:color w:val="000000"/>
                <w:sz w:val="32"/>
                <w:szCs w:val="32"/>
              </w:rPr>
              <w:t>市级工程质量综合性奖项的</w:t>
            </w:r>
            <w:r>
              <w:rPr>
                <w:rFonts w:hint="eastAsia" w:ascii="仿宋" w:hAnsi="仿宋" w:eastAsia="仿宋" w:cs="仿宋"/>
                <w:color w:val="000000"/>
                <w:sz w:val="32"/>
                <w:szCs w:val="32"/>
              </w:rPr>
              <w:t>，每项加1</w:t>
            </w:r>
            <w:r>
              <w:rPr>
                <w:rFonts w:hint="eastAsia" w:ascii="仿宋" w:hAnsi="仿宋" w:eastAsia="仿宋" w:cs="仿宋"/>
                <w:color w:val="000000"/>
                <w:sz w:val="32"/>
                <w:szCs w:val="32"/>
              </w:rPr>
              <w:t>0</w:t>
            </w:r>
            <w:r>
              <w:rPr>
                <w:rFonts w:hint="eastAsia" w:ascii="仿宋" w:hAnsi="仿宋" w:eastAsia="仿宋" w:cs="仿宋"/>
                <w:color w:val="000000"/>
                <w:sz w:val="32"/>
                <w:szCs w:val="32"/>
              </w:rPr>
              <w:t>分；获得</w:t>
            </w:r>
            <w:r>
              <w:rPr>
                <w:rFonts w:hint="eastAsia" w:ascii="仿宋" w:hAnsi="仿宋" w:eastAsia="仿宋" w:cs="仿宋"/>
                <w:b/>
                <w:color w:val="000000"/>
                <w:sz w:val="32"/>
                <w:szCs w:val="32"/>
              </w:rPr>
              <w:t>省级工程质量</w:t>
            </w:r>
            <w:r>
              <w:rPr>
                <w:rFonts w:hint="eastAsia" w:ascii="仿宋" w:hAnsi="仿宋" w:eastAsia="仿宋" w:cs="仿宋"/>
                <w:b/>
                <w:color w:val="000000"/>
                <w:sz w:val="32"/>
                <w:szCs w:val="32"/>
              </w:rPr>
              <w:t>综合</w:t>
            </w:r>
            <w:r>
              <w:rPr>
                <w:rFonts w:hint="eastAsia" w:ascii="仿宋" w:hAnsi="仿宋" w:eastAsia="仿宋" w:cs="仿宋"/>
                <w:b/>
                <w:color w:val="000000"/>
                <w:sz w:val="32"/>
                <w:szCs w:val="32"/>
              </w:rPr>
              <w:t>性奖项的</w:t>
            </w:r>
            <w:r>
              <w:rPr>
                <w:rFonts w:hint="eastAsia" w:ascii="仿宋" w:hAnsi="仿宋" w:eastAsia="仿宋" w:cs="仿宋"/>
                <w:color w:val="000000"/>
                <w:sz w:val="32"/>
                <w:szCs w:val="32"/>
              </w:rPr>
              <w:t>，每项加2</w:t>
            </w:r>
            <w:r>
              <w:rPr>
                <w:rFonts w:hint="eastAsia" w:ascii="仿宋" w:hAnsi="仿宋" w:eastAsia="仿宋" w:cs="仿宋"/>
                <w:color w:val="000000"/>
                <w:sz w:val="32"/>
                <w:szCs w:val="32"/>
              </w:rPr>
              <w:t>0</w:t>
            </w:r>
            <w:r>
              <w:rPr>
                <w:rFonts w:hint="eastAsia" w:ascii="仿宋" w:hAnsi="仿宋" w:eastAsia="仿宋" w:cs="仿宋"/>
                <w:color w:val="000000"/>
                <w:sz w:val="32"/>
                <w:szCs w:val="32"/>
              </w:rPr>
              <w:t>分。本项</w:t>
            </w:r>
            <w:r>
              <w:rPr>
                <w:rFonts w:hint="eastAsia" w:ascii="仿宋" w:hAnsi="仿宋" w:eastAsia="仿宋" w:cs="仿宋"/>
                <w:bCs/>
                <w:color w:val="000000"/>
                <w:sz w:val="32"/>
                <w:szCs w:val="32"/>
              </w:rPr>
              <w:t>满分</w:t>
            </w:r>
            <w:r>
              <w:rPr>
                <w:rFonts w:hint="eastAsia" w:ascii="仿宋" w:hAnsi="仿宋" w:eastAsia="仿宋" w:cs="仿宋"/>
                <w:bCs/>
                <w:color w:val="000000"/>
                <w:sz w:val="32"/>
                <w:szCs w:val="32"/>
              </w:rPr>
              <w:t>30</w:t>
            </w:r>
            <w:r>
              <w:rPr>
                <w:rFonts w:hint="eastAsia" w:ascii="仿宋" w:hAnsi="仿宋" w:eastAsia="仿宋" w:cs="仿宋"/>
                <w:bCs/>
                <w:color w:val="000000"/>
                <w:sz w:val="32"/>
                <w:szCs w:val="32"/>
              </w:rPr>
              <w:t>分。</w:t>
            </w:r>
          </w:p>
          <w:p w14:paraId="5B9E60A7">
            <w:pPr>
              <w:widowControl/>
              <w:spacing w:line="4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注：</w:t>
            </w:r>
          </w:p>
          <w:p w14:paraId="3AD99527">
            <w:pPr>
              <w:widowControl/>
              <w:spacing w:line="4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①若为</w:t>
            </w:r>
            <w:r>
              <w:rPr>
                <w:rFonts w:hint="eastAsia" w:ascii="仿宋" w:hAnsi="仿宋" w:eastAsia="仿宋" w:cs="仿宋"/>
                <w:b/>
                <w:bCs/>
                <w:color w:val="000000"/>
                <w:sz w:val="32"/>
                <w:szCs w:val="32"/>
              </w:rPr>
              <w:t>代建管理业绩</w:t>
            </w:r>
            <w:r>
              <w:rPr>
                <w:rFonts w:hint="eastAsia" w:ascii="仿宋" w:hAnsi="仿宋" w:eastAsia="仿宋" w:cs="仿宋"/>
                <w:color w:val="000000"/>
                <w:sz w:val="32"/>
                <w:szCs w:val="32"/>
              </w:rPr>
              <w:t>，业绩证明资料须提供代建合同、竣工验收证明材料，其中竣工验收证明材料是指由建设单位、监理单位（若有）、施工单位、设计单位、勘察单位（若有）共同加盖公章的单位（子单位）工程质量竣工验收记录或竣工验收报告或竣工验收备案表等竣工验收证明材料，否则业绩不予认定；</w:t>
            </w:r>
          </w:p>
          <w:p w14:paraId="512D02C4">
            <w:pPr>
              <w:widowControl/>
              <w:spacing w:line="4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②若为</w:t>
            </w:r>
            <w:r>
              <w:rPr>
                <w:rFonts w:hint="eastAsia" w:ascii="仿宋" w:hAnsi="仿宋" w:eastAsia="仿宋" w:cs="仿宋"/>
                <w:b/>
                <w:bCs/>
                <w:color w:val="000000"/>
                <w:sz w:val="32"/>
                <w:szCs w:val="32"/>
              </w:rPr>
              <w:t>房地产开发管理业绩</w:t>
            </w:r>
            <w:r>
              <w:rPr>
                <w:rFonts w:hint="eastAsia" w:ascii="仿宋" w:hAnsi="仿宋" w:eastAsia="仿宋" w:cs="仿宋"/>
                <w:color w:val="000000"/>
                <w:sz w:val="32"/>
                <w:szCs w:val="32"/>
                <w:lang w:eastAsia="zh"/>
              </w:rPr>
              <w:t>，</w:t>
            </w:r>
            <w:r>
              <w:rPr>
                <w:rFonts w:hint="eastAsia" w:ascii="仿宋" w:hAnsi="仿宋" w:eastAsia="仿宋" w:cs="仿宋"/>
                <w:color w:val="000000"/>
                <w:sz w:val="32"/>
                <w:szCs w:val="32"/>
                <w:lang w:bidi="ar"/>
              </w:rPr>
              <w:t>业绩证明资料须</w:t>
            </w:r>
            <w:r>
              <w:rPr>
                <w:rFonts w:hint="eastAsia" w:ascii="仿宋" w:hAnsi="仿宋" w:eastAsia="仿宋" w:cs="仿宋"/>
                <w:color w:val="000000"/>
                <w:sz w:val="32"/>
                <w:szCs w:val="32"/>
                <w:lang w:eastAsia="zh" w:bidi="ar"/>
              </w:rPr>
              <w:t>同时</w:t>
            </w:r>
            <w:r>
              <w:rPr>
                <w:rFonts w:hint="eastAsia" w:ascii="仿宋" w:hAnsi="仿宋" w:eastAsia="仿宋" w:cs="仿宋"/>
                <w:color w:val="000000"/>
                <w:sz w:val="32"/>
                <w:szCs w:val="32"/>
                <w:lang w:bidi="ar"/>
              </w:rPr>
              <w:t>提供</w:t>
            </w:r>
            <w:r>
              <w:rPr>
                <w:rFonts w:hint="eastAsia" w:ascii="仿宋" w:hAnsi="仿宋" w:eastAsia="仿宋" w:cs="仿宋"/>
                <w:color w:val="000000"/>
                <w:sz w:val="32"/>
                <w:szCs w:val="32"/>
                <w:lang w:eastAsia="zh" w:bidi="ar"/>
              </w:rPr>
              <w:t>立项</w:t>
            </w:r>
            <w:r>
              <w:rPr>
                <w:rFonts w:hint="eastAsia" w:ascii="仿宋" w:hAnsi="仿宋" w:eastAsia="仿宋" w:cs="仿宋"/>
                <w:color w:val="000000"/>
                <w:sz w:val="32"/>
                <w:szCs w:val="32"/>
                <w:lang w:bidi="ar"/>
              </w:rPr>
              <w:t>证明</w:t>
            </w:r>
            <w:r>
              <w:rPr>
                <w:rFonts w:hint="eastAsia" w:ascii="仿宋" w:hAnsi="仿宋" w:eastAsia="仿宋" w:cs="仿宋"/>
                <w:color w:val="000000"/>
                <w:sz w:val="32"/>
                <w:szCs w:val="32"/>
                <w:lang w:eastAsia="zh" w:bidi="ar"/>
              </w:rPr>
              <w:t>文件</w:t>
            </w:r>
            <w:r>
              <w:rPr>
                <w:rFonts w:hint="eastAsia" w:ascii="仿宋" w:hAnsi="仿宋" w:eastAsia="仿宋" w:cs="仿宋"/>
                <w:color w:val="000000"/>
                <w:sz w:val="32"/>
                <w:szCs w:val="32"/>
                <w:lang w:bidi="ar"/>
              </w:rPr>
              <w:t>（福建省投资项目备案证明或政府部门批复文件或政府部门核准文件）、竣工验收证明材料，其中竣工验收证明材料是指由建设单位、监理单位（若有）、施工单位、设计单位、勘察单位（若有）共同加盖公章的单位（子单位）工程质量竣工验收记录或竣工验收报告或竣工验收备案表等竣工验收证明材料，否则业绩不予认定</w:t>
            </w:r>
            <w:r>
              <w:rPr>
                <w:rFonts w:hint="eastAsia" w:ascii="仿宋" w:hAnsi="仿宋" w:eastAsia="仿宋" w:cs="仿宋"/>
                <w:color w:val="000000"/>
                <w:sz w:val="32"/>
                <w:szCs w:val="32"/>
                <w:lang w:eastAsia="zh" w:bidi="ar"/>
              </w:rPr>
              <w:t xml:space="preserve">； </w:t>
            </w:r>
          </w:p>
          <w:p w14:paraId="5497C238">
            <w:pPr>
              <w:widowControl/>
              <w:spacing w:line="4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③类似项目业绩的计算周期原则上由发布招标公告之日起往前推算，时间以项目竣(交)工验收时间为准，若验收证明材料有多个日期的，则以建设单位或监理单位签署的最后日期为准。同一项目奖项按最高奖项计取，时间以获奖证书或发布文件时间为准。所提供资料均须加盖报名单位得单位公章，否则该项不得分。</w:t>
            </w:r>
          </w:p>
        </w:tc>
      </w:tr>
      <w:tr w14:paraId="3DE6B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3" w:type="dxa"/>
            <w:vAlign w:val="center"/>
          </w:tcPr>
          <w:p w14:paraId="114C2A52">
            <w:pPr>
              <w:widowControl/>
              <w:spacing w:line="400" w:lineRule="exact"/>
              <w:jc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2.拟派项目负责人</w:t>
            </w:r>
          </w:p>
        </w:tc>
        <w:tc>
          <w:tcPr>
            <w:tcW w:w="963" w:type="dxa"/>
            <w:vAlign w:val="center"/>
          </w:tcPr>
          <w:p w14:paraId="610FD45B">
            <w:pPr>
              <w:widowControl/>
              <w:spacing w:line="400" w:lineRule="exact"/>
              <w:jc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15</w:t>
            </w:r>
          </w:p>
        </w:tc>
        <w:tc>
          <w:tcPr>
            <w:tcW w:w="7825" w:type="dxa"/>
          </w:tcPr>
          <w:p w14:paraId="3D80F9B2">
            <w:pPr>
              <w:widowControl/>
              <w:spacing w:line="4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报名单位拟派项目负责人具备建设工程类中级职称的，得</w:t>
            </w:r>
            <w:r>
              <w:rPr>
                <w:rFonts w:hint="eastAsia" w:ascii="仿宋" w:hAnsi="仿宋" w:eastAsia="仿宋" w:cs="仿宋"/>
                <w:color w:val="000000"/>
                <w:sz w:val="32"/>
                <w:szCs w:val="32"/>
              </w:rPr>
              <w:t>10</w:t>
            </w:r>
            <w:r>
              <w:rPr>
                <w:rFonts w:hint="eastAsia" w:ascii="仿宋" w:hAnsi="仿宋" w:eastAsia="仿宋" w:cs="仿宋"/>
                <w:color w:val="000000"/>
                <w:sz w:val="32"/>
                <w:szCs w:val="32"/>
              </w:rPr>
              <w:t>分，项目负责人具备建设工程类高级及以上职称的，得</w:t>
            </w:r>
            <w:r>
              <w:rPr>
                <w:rFonts w:hint="eastAsia" w:ascii="仿宋" w:hAnsi="仿宋" w:eastAsia="仿宋" w:cs="仿宋"/>
                <w:color w:val="000000"/>
                <w:sz w:val="32"/>
                <w:szCs w:val="32"/>
              </w:rPr>
              <w:t>15</w:t>
            </w:r>
            <w:r>
              <w:rPr>
                <w:rFonts w:hint="eastAsia" w:ascii="仿宋" w:hAnsi="仿宋" w:eastAsia="仿宋" w:cs="仿宋"/>
                <w:color w:val="000000"/>
                <w:sz w:val="32"/>
                <w:szCs w:val="32"/>
              </w:rPr>
              <w:t>分。</w:t>
            </w:r>
            <w:r>
              <w:rPr>
                <w:rFonts w:hint="eastAsia" w:ascii="仿宋" w:hAnsi="仿宋" w:eastAsia="仿宋" w:cs="仿宋"/>
                <w:bCs/>
                <w:color w:val="000000"/>
                <w:sz w:val="32"/>
                <w:szCs w:val="32"/>
              </w:rPr>
              <w:t>本项满分1</w:t>
            </w:r>
            <w:r>
              <w:rPr>
                <w:rFonts w:hint="eastAsia" w:ascii="仿宋" w:hAnsi="仿宋" w:eastAsia="仿宋" w:cs="仿宋"/>
                <w:bCs/>
                <w:color w:val="000000"/>
                <w:sz w:val="32"/>
                <w:szCs w:val="32"/>
              </w:rPr>
              <w:t>5</w:t>
            </w:r>
            <w:r>
              <w:rPr>
                <w:rFonts w:hint="eastAsia" w:ascii="仿宋" w:hAnsi="仿宋" w:eastAsia="仿宋" w:cs="仿宋"/>
                <w:bCs/>
                <w:color w:val="000000"/>
                <w:sz w:val="32"/>
                <w:szCs w:val="32"/>
              </w:rPr>
              <w:t>分。</w:t>
            </w:r>
          </w:p>
          <w:p w14:paraId="46086066">
            <w:pPr>
              <w:widowControl/>
              <w:spacing w:line="4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注：</w:t>
            </w:r>
          </w:p>
          <w:p w14:paraId="52747A6E">
            <w:pPr>
              <w:pStyle w:val="12"/>
              <w:widowControl/>
              <w:numPr>
                <w:ilvl w:val="0"/>
                <w:numId w:val="1"/>
              </w:numPr>
              <w:spacing w:line="400" w:lineRule="exact"/>
              <w:ind w:firstLineChars="0"/>
              <w:rPr>
                <w:rFonts w:hint="eastAsia" w:ascii="仿宋" w:hAnsi="仿宋" w:eastAsia="仿宋" w:cs="仿宋"/>
                <w:color w:val="000000"/>
                <w:sz w:val="32"/>
                <w:szCs w:val="32"/>
              </w:rPr>
            </w:pPr>
            <w:r>
              <w:rPr>
                <w:rFonts w:hint="eastAsia" w:ascii="仿宋" w:hAnsi="仿宋" w:eastAsia="仿宋" w:cs="仿宋"/>
                <w:color w:val="000000"/>
                <w:sz w:val="32"/>
                <w:szCs w:val="32"/>
              </w:rPr>
              <w:t>须同时提供上述人员的相关证书和招募截止时间前连续六个月（不含招募截止时间的当月）的社保缴纳证明资料，否则该项不得分；</w:t>
            </w:r>
          </w:p>
          <w:p w14:paraId="33DB09F9">
            <w:pPr>
              <w:pStyle w:val="12"/>
              <w:widowControl/>
              <w:numPr>
                <w:ilvl w:val="0"/>
                <w:numId w:val="1"/>
              </w:numPr>
              <w:spacing w:line="400" w:lineRule="exact"/>
              <w:ind w:firstLineChars="0"/>
              <w:rPr>
                <w:rFonts w:hint="eastAsia" w:ascii="仿宋" w:hAnsi="仿宋" w:eastAsia="仿宋" w:cs="仿宋"/>
                <w:bCs/>
                <w:color w:val="000000"/>
                <w:sz w:val="32"/>
                <w:szCs w:val="32"/>
              </w:rPr>
            </w:pPr>
            <w:r>
              <w:rPr>
                <w:rFonts w:hint="eastAsia" w:ascii="仿宋" w:hAnsi="仿宋" w:eastAsia="仿宋" w:cs="仿宋"/>
                <w:color w:val="000000"/>
                <w:sz w:val="32"/>
                <w:szCs w:val="32"/>
              </w:rPr>
              <w:t>所提供资料均须加盖报名单位的单位公章，否则该项不得分。</w:t>
            </w:r>
          </w:p>
        </w:tc>
      </w:tr>
      <w:tr w14:paraId="08745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63" w:hRule="atLeast"/>
          <w:jc w:val="center"/>
        </w:trPr>
        <w:tc>
          <w:tcPr>
            <w:tcW w:w="1083" w:type="dxa"/>
            <w:vAlign w:val="center"/>
          </w:tcPr>
          <w:p w14:paraId="6C13BEF2">
            <w:pPr>
              <w:widowControl/>
              <w:spacing w:line="400" w:lineRule="exact"/>
              <w:jc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3</w:t>
            </w:r>
            <w:r>
              <w:rPr>
                <w:rFonts w:hint="eastAsia" w:ascii="仿宋" w:hAnsi="仿宋" w:eastAsia="仿宋" w:cs="仿宋"/>
                <w:color w:val="000000"/>
                <w:kern w:val="0"/>
                <w:sz w:val="32"/>
                <w:szCs w:val="32"/>
                <w:lang w:bidi="ar"/>
              </w:rPr>
              <w:t>.</w:t>
            </w:r>
            <w:r>
              <w:rPr>
                <w:rFonts w:hint="eastAsia" w:ascii="仿宋" w:hAnsi="仿宋" w:eastAsia="仿宋" w:cs="仿宋"/>
                <w:color w:val="000000"/>
                <w:kern w:val="0"/>
                <w:sz w:val="32"/>
                <w:szCs w:val="32"/>
                <w:lang w:bidi="ar"/>
              </w:rPr>
              <w:t>项目管理方案</w:t>
            </w:r>
          </w:p>
        </w:tc>
        <w:tc>
          <w:tcPr>
            <w:tcW w:w="963" w:type="dxa"/>
            <w:vAlign w:val="center"/>
          </w:tcPr>
          <w:p w14:paraId="4E9B8539">
            <w:pPr>
              <w:widowControl/>
              <w:spacing w:line="400" w:lineRule="exact"/>
              <w:jc w:val="center"/>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5</w:t>
            </w:r>
          </w:p>
        </w:tc>
        <w:tc>
          <w:tcPr>
            <w:tcW w:w="7825" w:type="dxa"/>
          </w:tcPr>
          <w:p w14:paraId="76C0128E">
            <w:pPr>
              <w:spacing w:line="3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针对本项目管理需求，项目管理人对报名单位陈述的项目管理方案进行评价，本项满分5分：</w:t>
            </w:r>
          </w:p>
          <w:p w14:paraId="31BC8AE8">
            <w:pPr>
              <w:spacing w:line="3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优秀（5分)：方案考虑全面，论述完整，符合实际，符合招标人需求，针对性强。</w:t>
            </w:r>
          </w:p>
          <w:p w14:paraId="33417706">
            <w:pPr>
              <w:spacing w:line="3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一般（3分)：方案考虑不够全面，论述情况一般，符合实际，能基本满足招标人需求，针对性不强。</w:t>
            </w:r>
          </w:p>
          <w:p w14:paraId="7E71E799">
            <w:pPr>
              <w:widowControl/>
              <w:spacing w:line="40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较差（1分）：方案简单，仅为通用性方案，没有针对性，论述不完整、不符合项目特点。</w:t>
            </w:r>
          </w:p>
        </w:tc>
      </w:tr>
    </w:tbl>
    <w:p w14:paraId="25592F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34B57"/>
    <w:multiLevelType w:val="multilevel"/>
    <w:tmpl w:val="13D34B57"/>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A9E"/>
    <w:rsid w:val="00005387"/>
    <w:rsid w:val="000307C7"/>
    <w:rsid w:val="000A1732"/>
    <w:rsid w:val="000B3145"/>
    <w:rsid w:val="000D3EF6"/>
    <w:rsid w:val="001A7418"/>
    <w:rsid w:val="001D5EA0"/>
    <w:rsid w:val="00291455"/>
    <w:rsid w:val="003213B4"/>
    <w:rsid w:val="004458ED"/>
    <w:rsid w:val="00476A20"/>
    <w:rsid w:val="0050411D"/>
    <w:rsid w:val="00553D8D"/>
    <w:rsid w:val="00571BA0"/>
    <w:rsid w:val="005F7031"/>
    <w:rsid w:val="00602E41"/>
    <w:rsid w:val="00633C0C"/>
    <w:rsid w:val="0064201F"/>
    <w:rsid w:val="00645174"/>
    <w:rsid w:val="006D67DD"/>
    <w:rsid w:val="006E60EE"/>
    <w:rsid w:val="00761D19"/>
    <w:rsid w:val="007843FC"/>
    <w:rsid w:val="007E1391"/>
    <w:rsid w:val="00847BE0"/>
    <w:rsid w:val="0097203F"/>
    <w:rsid w:val="00997ACA"/>
    <w:rsid w:val="00A85B64"/>
    <w:rsid w:val="00AF554D"/>
    <w:rsid w:val="00B13F61"/>
    <w:rsid w:val="00B62A9E"/>
    <w:rsid w:val="00BE1DB5"/>
    <w:rsid w:val="00C05DF2"/>
    <w:rsid w:val="00CC0801"/>
    <w:rsid w:val="00CE7B84"/>
    <w:rsid w:val="00CF5A06"/>
    <w:rsid w:val="00D55532"/>
    <w:rsid w:val="00D7766A"/>
    <w:rsid w:val="00D85206"/>
    <w:rsid w:val="00E832C0"/>
    <w:rsid w:val="00F8334C"/>
    <w:rsid w:val="00FF319E"/>
    <w:rsid w:val="3B5A5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99"/>
    <w:pPr>
      <w:spacing w:after="120"/>
    </w:p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next w:val="1"/>
    <w:qFormat/>
    <w:uiPriority w:val="0"/>
    <w:pPr>
      <w:spacing w:line="300" w:lineRule="auto"/>
    </w:pPr>
    <w:rPr>
      <w:sz w:val="24"/>
    </w:rPr>
  </w:style>
  <w:style w:type="character" w:styleId="8">
    <w:name w:val="Strong"/>
    <w:qFormat/>
    <w:uiPriority w:val="0"/>
    <w:rPr>
      <w:rFonts w:ascii="Times New Roman" w:hAnsi="Times New Roman" w:eastAsia="宋体" w:cs="Times New Roman"/>
      <w:b/>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正文文本 Char"/>
    <w:basedOn w:val="7"/>
    <w:link w:val="2"/>
    <w:qFormat/>
    <w:uiPriority w:val="99"/>
    <w:rPr>
      <w:rFonts w:ascii="Times New Roman" w:hAnsi="Times New Roman" w:eastAsia="宋体" w:cs="Times New Roman"/>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1262</Words>
  <Characters>1292</Characters>
  <Lines>9</Lines>
  <Paragraphs>2</Paragraphs>
  <TotalTime>235</TotalTime>
  <ScaleCrop>false</ScaleCrop>
  <LinksUpToDate>false</LinksUpToDate>
  <CharactersWithSpaces>1294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2026-07-13T00:48:00Z</dcterms:created>
  <dc:creator>郭玲</dc:creator>
  <cp:lastModifiedBy>肖泽洲</cp:lastModifiedBy>
  <dcterms:modified xsi:type="dcterms:W3CDTF">2026-07-13T06:16:55Z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eyJoZGlkIjoiN2UyMWQ0ZDBkNmFiZWUzZjFjMWY5MjYyZjE3YTgwNzkiLCJ1c2VySWQiOiIxNjk1NTU0NDczIn0=</vt:lpwstr>
  </property>
  <property fmtid="{D5CDD505-2E9C-101B-9397-08002B2CF9AE}" pid="3" name="KSOProductBuildVer">
    <vt:lpwstr>2052-12.1.0.26895</vt:lpwstr>
  </property>
  <property fmtid="{D5CDD505-2E9C-101B-9397-08002B2CF9AE}" pid="4" name="ICV">
    <vt:lpwstr>3F30650598854E3C8A4C495C11BE830A_12</vt:lpwstr>
  </property>
</Properties>
</file>