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3E54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720" w:firstLineChars="200"/>
        <w:jc w:val="center"/>
        <w:outlineLvl w:val="0"/>
        <w:rPr>
          <w:rFonts w:hint="default" w:ascii="黑体" w:hAnsi="黑体" w:eastAsia="黑体" w:cs="黑体"/>
          <w:spacing w:val="0"/>
          <w:kern w:val="21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0"/>
          <w:kern w:val="21"/>
          <w:sz w:val="36"/>
          <w:szCs w:val="36"/>
          <w:lang w:val="en-US" w:eastAsia="zh-CN"/>
        </w:rPr>
        <w:t>评分细则</w:t>
      </w:r>
    </w:p>
    <w:p w14:paraId="79DF7FB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ascii="黑体" w:hAnsi="黑体" w:eastAsia="黑体" w:cs="黑体"/>
          <w:spacing w:val="0"/>
          <w:kern w:val="21"/>
          <w:sz w:val="32"/>
          <w:szCs w:val="32"/>
        </w:rPr>
      </w:pPr>
    </w:p>
    <w:p w14:paraId="524113C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ascii="黑体" w:hAnsi="黑体" w:eastAsia="黑体" w:cs="黑体"/>
          <w:spacing w:val="0"/>
          <w:kern w:val="21"/>
          <w:sz w:val="32"/>
          <w:szCs w:val="32"/>
        </w:rPr>
      </w:pPr>
    </w:p>
    <w:p w14:paraId="3BEADDB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color w:val="auto"/>
          <w:spacing w:val="0"/>
          <w:kern w:val="21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pacing w:val="0"/>
          <w:kern w:val="21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黑体" w:hAnsi="黑体" w:eastAsia="黑体" w:cs="黑体"/>
          <w:color w:val="auto"/>
          <w:spacing w:val="0"/>
          <w:kern w:val="21"/>
          <w:sz w:val="32"/>
          <w:szCs w:val="32"/>
          <w:highlight w:val="none"/>
        </w:rPr>
        <w:t>资格</w:t>
      </w:r>
    </w:p>
    <w:p w14:paraId="78E44CBB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color w:val="auto"/>
          <w:spacing w:val="0"/>
          <w:kern w:val="21"/>
          <w:sz w:val="32"/>
          <w:szCs w:val="32"/>
          <w:highlight w:val="none"/>
        </w:rPr>
      </w:pPr>
      <w:r>
        <w:rPr>
          <w:color w:val="auto"/>
          <w:spacing w:val="0"/>
          <w:kern w:val="21"/>
          <w:sz w:val="32"/>
          <w:szCs w:val="32"/>
          <w:highlight w:val="none"/>
        </w:rPr>
        <w:t>(一)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资质</w:t>
      </w:r>
      <w:r>
        <w:rPr>
          <w:color w:val="auto"/>
          <w:spacing w:val="0"/>
          <w:kern w:val="21"/>
          <w:sz w:val="32"/>
          <w:szCs w:val="32"/>
          <w:highlight w:val="none"/>
        </w:rPr>
        <w:t>要求：</w:t>
      </w:r>
    </w:p>
    <w:p w14:paraId="67FDB3A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pacing w:val="0"/>
          <w:kern w:val="21"/>
          <w:sz w:val="32"/>
          <w:szCs w:val="32"/>
          <w:highlight w:val="none"/>
        </w:rPr>
        <w:t>1.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须是中华人民共和国境内的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机构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，并具有独立法人资格；</w:t>
      </w:r>
    </w:p>
    <w:p w14:paraId="5E85F1E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left"/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2.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具备建设行政主管部门核发的房屋建筑工程监理甲级及以上资质；</w:t>
      </w:r>
    </w:p>
    <w:p w14:paraId="52B05F0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color w:val="auto"/>
          <w:spacing w:val="0"/>
          <w:kern w:val="21"/>
          <w:sz w:val="32"/>
          <w:szCs w:val="32"/>
          <w:highlight w:val="none"/>
        </w:rPr>
        <w:t>(二)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业绩要求：</w:t>
      </w:r>
    </w:p>
    <w:p w14:paraId="487AEEE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 w:eastAsia="仿宋"/>
          <w:color w:val="auto"/>
          <w:highlight w:val="none"/>
          <w:lang w:eastAsia="zh-CN"/>
        </w:rPr>
      </w:pP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企业</w:t>
      </w:r>
      <w:r>
        <w:rPr>
          <w:color w:val="auto"/>
          <w:spacing w:val="0"/>
          <w:kern w:val="21"/>
          <w:sz w:val="32"/>
          <w:szCs w:val="32"/>
          <w:highlight w:val="none"/>
        </w:rPr>
        <w:t>近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五</w:t>
      </w:r>
      <w:r>
        <w:rPr>
          <w:color w:val="auto"/>
          <w:spacing w:val="0"/>
          <w:kern w:val="21"/>
          <w:sz w:val="32"/>
          <w:szCs w:val="32"/>
          <w:highlight w:val="none"/>
        </w:rPr>
        <w:t>年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内</w:t>
      </w:r>
      <w:r>
        <w:rPr>
          <w:color w:val="auto"/>
          <w:spacing w:val="0"/>
          <w:kern w:val="21"/>
          <w:sz w:val="32"/>
          <w:szCs w:val="32"/>
          <w:highlight w:val="none"/>
        </w:rPr>
        <w:t>完成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一类房屋建筑工程的监理服务业绩不少于3个</w:t>
      </w:r>
      <w:r>
        <w:rPr>
          <w:color w:val="auto"/>
          <w:spacing w:val="0"/>
          <w:kern w:val="21"/>
          <w:sz w:val="32"/>
          <w:szCs w:val="32"/>
          <w:highlight w:val="none"/>
        </w:rPr>
        <w:t>(需提供合同及验收证明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及相关资料</w:t>
      </w:r>
      <w:r>
        <w:rPr>
          <w:color w:val="auto"/>
          <w:spacing w:val="0"/>
          <w:kern w:val="21"/>
          <w:sz w:val="32"/>
          <w:szCs w:val="32"/>
          <w:highlight w:val="none"/>
        </w:rPr>
        <w:t>)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。业绩时间以竣工验收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报告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日期为准，若竣工验收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报告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有多个日期的，则以建设单位签署的最后日期为准。</w:t>
      </w:r>
    </w:p>
    <w:p w14:paraId="494A155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default" w:eastAsia="仿宋"/>
          <w:color w:val="auto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color w:val="auto"/>
          <w:spacing w:val="0"/>
          <w:kern w:val="21"/>
          <w:sz w:val="32"/>
          <w:szCs w:val="32"/>
          <w:highlight w:val="none"/>
        </w:rPr>
        <w:t>(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三</w:t>
      </w:r>
      <w:r>
        <w:rPr>
          <w:color w:val="auto"/>
          <w:spacing w:val="0"/>
          <w:kern w:val="21"/>
          <w:sz w:val="32"/>
          <w:szCs w:val="32"/>
          <w:highlight w:val="none"/>
        </w:rPr>
        <w:t>)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人员要求：</w:t>
      </w:r>
    </w:p>
    <w:p w14:paraId="5C9BA47C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60" w:firstLineChars="200"/>
        <w:jc w:val="left"/>
        <w:rPr>
          <w:rFonts w:hint="default"/>
          <w:color w:val="auto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总监理工程师需有10年以上执业经历并持有国家注册监理工程师证书（注册专业：房屋建筑工程），且具有</w:t>
      </w:r>
      <w:r>
        <w:rPr>
          <w:color w:val="auto"/>
          <w:spacing w:val="0"/>
          <w:kern w:val="21"/>
          <w:sz w:val="32"/>
          <w:szCs w:val="32"/>
          <w:highlight w:val="none"/>
        </w:rPr>
        <w:t>近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五</w:t>
      </w:r>
      <w:r>
        <w:rPr>
          <w:color w:val="auto"/>
          <w:spacing w:val="0"/>
          <w:kern w:val="21"/>
          <w:sz w:val="32"/>
          <w:szCs w:val="32"/>
          <w:highlight w:val="none"/>
        </w:rPr>
        <w:t>年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内一类房屋建筑工程的监理服务业绩1个。</w:t>
      </w:r>
      <w:r>
        <w:rPr>
          <w:rFonts w:hint="eastAsia"/>
          <w:color w:val="auto"/>
          <w:highlight w:val="none"/>
          <w:lang w:val="en-US" w:eastAsia="zh-CN"/>
        </w:rPr>
        <w:t>执业经历以毕业证时间为准。</w:t>
      </w:r>
    </w:p>
    <w:p w14:paraId="0595EB8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left"/>
        <w:rPr>
          <w:rFonts w:hint="default" w:eastAsia="仿宋"/>
          <w:color w:val="auto"/>
          <w:spacing w:val="0"/>
          <w:kern w:val="21"/>
          <w:sz w:val="32"/>
          <w:szCs w:val="32"/>
          <w:highlight w:val="none"/>
          <w:lang w:val="en-US" w:eastAsia="zh-CN"/>
        </w:rPr>
      </w:pPr>
      <w:r>
        <w:rPr>
          <w:color w:val="auto"/>
          <w:spacing w:val="0"/>
          <w:kern w:val="21"/>
          <w:sz w:val="32"/>
          <w:szCs w:val="32"/>
          <w:highlight w:val="none"/>
        </w:rPr>
        <w:t>(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四</w:t>
      </w:r>
      <w:r>
        <w:rPr>
          <w:color w:val="auto"/>
          <w:spacing w:val="0"/>
          <w:kern w:val="21"/>
          <w:sz w:val="32"/>
          <w:szCs w:val="32"/>
          <w:highlight w:val="none"/>
        </w:rPr>
        <w:t>)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信誉要求：</w:t>
      </w:r>
    </w:p>
    <w:p w14:paraId="5283A70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1.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具有良好的商业信誉和健全的财务会计制度；</w:t>
      </w:r>
    </w:p>
    <w:p w14:paraId="6FE5A2A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2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.三年内在经营活动中没有重大违法记录；</w:t>
      </w:r>
    </w:p>
    <w:p w14:paraId="22C7990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3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.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不违反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国家法律法规对市场准入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的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要求；</w:t>
      </w:r>
    </w:p>
    <w:p w14:paraId="052866C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4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eastAsia="zh-CN"/>
        </w:rPr>
        <w:t>.未被列入“信用中国”网站（www.creditchina.gov.cn）失信被执行人、重大税收违法案件当事人名单、政府采购严重违法失信行为记录名单和“中国政府采购”网站（www.ccgp.gov.cn）政府采购严重违法失信行为记录名单（以投标截止时间前查询结果为准）；</w:t>
      </w:r>
    </w:p>
    <w:p w14:paraId="2021C66F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color w:val="auto"/>
          <w:spacing w:val="0"/>
          <w:kern w:val="21"/>
          <w:sz w:val="32"/>
          <w:szCs w:val="32"/>
          <w:highlight w:val="none"/>
        </w:rPr>
      </w:pPr>
      <w:r>
        <w:rPr>
          <w:color w:val="auto"/>
          <w:spacing w:val="0"/>
          <w:kern w:val="21"/>
          <w:sz w:val="32"/>
          <w:szCs w:val="32"/>
          <w:highlight w:val="none"/>
        </w:rPr>
        <w:t>(</w:t>
      </w:r>
      <w:r>
        <w:rPr>
          <w:rFonts w:hint="eastAsia"/>
          <w:color w:val="auto"/>
          <w:spacing w:val="0"/>
          <w:kern w:val="21"/>
          <w:sz w:val="32"/>
          <w:szCs w:val="32"/>
          <w:highlight w:val="none"/>
          <w:lang w:val="en-US" w:eastAsia="zh-CN"/>
        </w:rPr>
        <w:t>五</w:t>
      </w:r>
      <w:bookmarkStart w:id="0" w:name="_GoBack"/>
      <w:bookmarkEnd w:id="0"/>
      <w:r>
        <w:rPr>
          <w:color w:val="auto"/>
          <w:spacing w:val="0"/>
          <w:kern w:val="21"/>
          <w:sz w:val="32"/>
          <w:szCs w:val="32"/>
          <w:highlight w:val="none"/>
        </w:rPr>
        <w:t>)限制条款：</w:t>
      </w:r>
    </w:p>
    <w:p w14:paraId="3FDA4EE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color w:val="auto"/>
          <w:spacing w:val="0"/>
          <w:kern w:val="21"/>
          <w:sz w:val="32"/>
          <w:szCs w:val="32"/>
          <w:highlight w:val="none"/>
        </w:rPr>
      </w:pPr>
      <w:r>
        <w:rPr>
          <w:color w:val="auto"/>
          <w:spacing w:val="0"/>
          <w:kern w:val="21"/>
          <w:sz w:val="32"/>
          <w:szCs w:val="32"/>
          <w:highlight w:val="none"/>
        </w:rPr>
        <w:t>1. 不接受联合体报名；</w:t>
      </w:r>
    </w:p>
    <w:p w14:paraId="72507E34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color w:val="auto"/>
          <w:spacing w:val="0"/>
          <w:kern w:val="21"/>
          <w:sz w:val="32"/>
          <w:szCs w:val="32"/>
          <w:highlight w:val="none"/>
        </w:rPr>
      </w:pPr>
    </w:p>
    <w:tbl>
      <w:tblPr>
        <w:tblStyle w:val="7"/>
        <w:tblW w:w="8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8178"/>
      </w:tblGrid>
      <w:tr w14:paraId="799BE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5" w:hRule="atLeast"/>
        </w:trPr>
        <w:tc>
          <w:tcPr>
            <w:tcW w:w="461" w:type="dxa"/>
            <w:vAlign w:val="top"/>
          </w:tcPr>
          <w:p w14:paraId="37C64CB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</w:pPr>
          </w:p>
          <w:p w14:paraId="318FA7B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center"/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</w:pPr>
          </w:p>
          <w:p w14:paraId="1B8457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综合</w:t>
            </w:r>
          </w:p>
          <w:p w14:paraId="5047E8C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0" w:rightChars="0"/>
              <w:jc w:val="center"/>
              <w:rPr>
                <w:rFonts w:hint="eastAsia" w:eastAsia="仿宋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评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分</w:t>
            </w:r>
          </w:p>
        </w:tc>
        <w:tc>
          <w:tcPr>
            <w:tcW w:w="8178" w:type="dxa"/>
            <w:vAlign w:val="top"/>
          </w:tcPr>
          <w:p w14:paraId="472EB3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评分标准(百分制):</w:t>
            </w:r>
          </w:p>
          <w:p w14:paraId="4264E3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-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企业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资质(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20分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):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具备房屋建筑工程监理甲级及以上资质得20分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；</w:t>
            </w:r>
          </w:p>
          <w:p w14:paraId="175CFE4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-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企业业绩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(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20分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)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eastAsia="zh-CN"/>
              </w:rPr>
              <w:t>：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具备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近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五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年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内一类房屋建筑工程的监理服务业绩3个得10分，每增加一个加5分，满分20分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；</w:t>
            </w:r>
          </w:p>
          <w:p w14:paraId="1D85D17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rFonts w:hint="default" w:eastAsia="仿宋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-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总监理工程师业绩（20分）：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具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备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近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五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年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内一类房屋建筑工程的监理服务业绩1个得10分，每增加一个加10分，满分20分。</w:t>
            </w:r>
          </w:p>
          <w:p w14:paraId="2D9A2DDA"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rPr>
                <w:color w:val="auto"/>
                <w:highlight w:val="none"/>
              </w:rPr>
            </w:pPr>
            <w:r>
              <w:rPr>
                <w:rFonts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-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 w:bidi="ar-SA"/>
              </w:rPr>
              <w:t>服务方案（5分）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 w:bidi="ar-SA"/>
              </w:rPr>
              <w:t>根据服务方案的科学性、合理性、针对性、先进性等进行评审，满分5分。简单笼统：0～1分；常规可行：2～3分，完善创新4～5分。（服务方案不超过60页）</w:t>
            </w:r>
          </w:p>
          <w:p w14:paraId="72E86D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-报价(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25分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):</w:t>
            </w: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zh-CN"/>
              </w:rPr>
              <w:t>当投标人投标报价低于95万元的，其投标报价得分直接按满分处理。当投标人投标报价在95-100万元区间的，按照下述公式进行投标报价得分的计算：</w:t>
            </w:r>
          </w:p>
          <w:p w14:paraId="348F8D0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/>
              </w:rPr>
            </w:pPr>
            <w:r>
              <w:rPr>
                <w:rFonts w:hint="eastAsia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/>
              </w:rPr>
              <w:t>投标报价得分=30-[（投标报价-评标基准价）÷评标基准价]×100</w:t>
            </w:r>
          </w:p>
          <w:p w14:paraId="4D04D6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0" w:leftChars="0" w:right="0" w:rightChars="0" w:firstLine="640" w:firstLineChars="200"/>
              <w:jc w:val="both"/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注：①</w:t>
            </w:r>
            <w:r>
              <w:rPr>
                <w:rFonts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评标基准价：有效投标报价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的最低值</w:t>
            </w:r>
            <w:r>
              <w:rPr>
                <w:rFonts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作为评标基准价。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最终投标报价</w:t>
            </w:r>
            <w:r>
              <w:rPr>
                <w:rFonts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得分保留2位小数，第3位四舍五入，扣完为止。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0"/>
                <w:kern w:val="21"/>
                <w:sz w:val="32"/>
                <w:szCs w:val="32"/>
                <w:highlight w:val="none"/>
                <w:lang w:val="en-US" w:eastAsia="en-US" w:bidi="ar-SA"/>
              </w:rPr>
              <w:t>本项满分30分</w:t>
            </w:r>
            <w:r>
              <w:rPr>
                <w:color w:val="auto"/>
                <w:spacing w:val="0"/>
                <w:kern w:val="21"/>
                <w:sz w:val="32"/>
                <w:szCs w:val="32"/>
                <w:highlight w:val="none"/>
              </w:rPr>
              <w:t>。</w:t>
            </w:r>
          </w:p>
        </w:tc>
      </w:tr>
    </w:tbl>
    <w:p w14:paraId="7314F45D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ind w:left="0" w:leftChars="0" w:right="0" w:rightChars="0" w:firstLine="640" w:firstLineChars="200"/>
        <w:jc w:val="both"/>
        <w:rPr>
          <w:color w:val="auto"/>
          <w:spacing w:val="0"/>
          <w:kern w:val="21"/>
          <w:sz w:val="32"/>
          <w:szCs w:val="32"/>
          <w:highlight w:val="none"/>
        </w:rPr>
      </w:pPr>
    </w:p>
    <w:sectPr>
      <w:headerReference r:id="rId5" w:type="default"/>
      <w:footerReference r:id="rId6" w:type="default"/>
      <w:pgSz w:w="11900" w:h="1684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ECC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54C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54C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463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010161"/>
    <w:rsid w:val="0C624DCD"/>
    <w:rsid w:val="0E8F2773"/>
    <w:rsid w:val="117943B5"/>
    <w:rsid w:val="16294EC4"/>
    <w:rsid w:val="170132D7"/>
    <w:rsid w:val="1A473F02"/>
    <w:rsid w:val="1BC3580A"/>
    <w:rsid w:val="1BE4346A"/>
    <w:rsid w:val="1CDE2859"/>
    <w:rsid w:val="296F0FDE"/>
    <w:rsid w:val="2D150FDD"/>
    <w:rsid w:val="35A6736E"/>
    <w:rsid w:val="387D5266"/>
    <w:rsid w:val="390412B7"/>
    <w:rsid w:val="45BD50C0"/>
    <w:rsid w:val="55A10A6E"/>
    <w:rsid w:val="57820E82"/>
    <w:rsid w:val="580F5357"/>
    <w:rsid w:val="64C47C80"/>
    <w:rsid w:val="6886404B"/>
    <w:rsid w:val="68E654DD"/>
    <w:rsid w:val="7652572E"/>
    <w:rsid w:val="7A634C39"/>
    <w:rsid w:val="7AA461D3"/>
    <w:rsid w:val="7C5F32C3"/>
    <w:rsid w:val="7C7F2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853</Words>
  <Characters>926</Characters>
  <TotalTime>6</TotalTime>
  <ScaleCrop>false</ScaleCrop>
  <LinksUpToDate>false</LinksUpToDate>
  <CharactersWithSpaces>927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2026-05-06T17:33:00Z</dcterms:created>
  <dc:creator>Administrator</dc:creator>
  <cp:lastModifiedBy>肖泽洲</cp:lastModifiedBy>
  <dcterms:modified xsi:type="dcterms:W3CDTF">2026-07-13T06:15:51Z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2026-05-06T17:33:50Z</vt:filetime>
  </property>
  <property fmtid="{D5CDD505-2E9C-101B-9397-08002B2CF9AE}" pid="4" name="UsrData">
    <vt:lpwstr>69fb0afb9aafeb0020ddb7f0wl</vt:lpwstr>
  </property>
  <property fmtid="{D5CDD505-2E9C-101B-9397-08002B2CF9AE}" pid="5" name="KSOTemplateDocerSaveRecord">
    <vt:lpwstr>eyJoZGlkIjoiN2UyMWQ0ZDBkNmFiZWUzZjFjMWY5MjYyZjE3YTgwNzkiLCJ1c2VySWQiOiIxNjk1NTU0NDczIn0=</vt:lpwstr>
  </property>
  <property fmtid="{D5CDD505-2E9C-101B-9397-08002B2CF9AE}" pid="6" name="KSOProductBuildVer">
    <vt:lpwstr>2052-12.1.0.26895</vt:lpwstr>
  </property>
  <property fmtid="{D5CDD505-2E9C-101B-9397-08002B2CF9AE}" pid="7" name="ICV">
    <vt:lpwstr>B4E2F00CB4994EF3B47D48C0173E554C_13</vt:lpwstr>
  </property>
</Properties>
</file>