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2544">
      <w:pPr>
        <w:pStyle w:val="6"/>
        <w:shd w:val="clear" w:color="auto" w:fill="FFFFFF"/>
        <w:tabs>
          <w:tab w:val="left" w:pos="2520"/>
        </w:tabs>
        <w:spacing w:before="156" w:beforeLines="50" w:beforeAutospacing="0" w:after="156" w:afterLines="50" w:afterAutospacing="0" w:line="480" w:lineRule="exact"/>
        <w:jc w:val="center"/>
        <w:rPr>
          <w:rFonts w:ascii="黑体" w:hAnsi="黑体" w:eastAsia="黑体" w:cs="黑体"/>
          <w:b/>
          <w:bCs/>
          <w:color w:val="000000" w:themeColor="text1"/>
          <w:sz w:val="30"/>
          <w:szCs w:val="30"/>
          <w:lang w:eastAsia="zh-Hans"/>
          <w14:textFill>
            <w14:solidFill>
              <w14:schemeClr w14:val="tx1"/>
            </w14:solidFill>
          </w14:textFill>
        </w:rPr>
      </w:pPr>
      <w:r>
        <w:rPr>
          <w:rFonts w:hint="eastAsia" w:ascii="黑体" w:hAnsi="黑体" w:eastAsia="黑体" w:cs="黑体"/>
          <w:b/>
          <w:bCs/>
          <w:color w:val="000000" w:themeColor="text1"/>
          <w:sz w:val="30"/>
          <w:szCs w:val="30"/>
          <w:lang w:eastAsia="zh-Hans"/>
          <w14:textFill>
            <w14:solidFill>
              <w14:schemeClr w14:val="tx1"/>
            </w14:solidFill>
          </w14:textFill>
        </w:rPr>
        <w:t>拍卖公告</w:t>
      </w:r>
    </w:p>
    <w:p w14:paraId="2D6D8B21">
      <w:pPr>
        <w:pStyle w:val="6"/>
        <w:shd w:val="clear" w:color="auto" w:fill="FFFFFF"/>
        <w:spacing w:before="0" w:beforeAutospacing="0" w:after="0" w:afterAutospacing="0" w:line="480" w:lineRule="exact"/>
        <w:ind w:firstLine="480" w:firstLineChars="200"/>
        <w:jc w:val="both"/>
        <w:rPr>
          <w:b/>
          <w:bCs/>
        </w:rPr>
      </w:pPr>
      <w:r>
        <w:rPr>
          <w:rFonts w:hint="eastAsia"/>
        </w:rPr>
        <w:t>厦门兴基伟业房地产开发</w:t>
      </w:r>
      <w:r>
        <w:rPr>
          <w:rFonts w:hint="eastAsia"/>
          <w:lang w:eastAsia="zh-Hans"/>
        </w:rPr>
        <w:t>有限公司管理人（以下简称管理人）将于202</w:t>
      </w:r>
      <w:r>
        <w:rPr>
          <w:rFonts w:hint="eastAsia"/>
          <w:lang w:val="en-US" w:eastAsia="zh-CN"/>
        </w:rPr>
        <w:t>6</w:t>
      </w:r>
      <w:r>
        <w:rPr>
          <w:rFonts w:hint="eastAsia"/>
          <w:lang w:eastAsia="zh-Hans"/>
        </w:rPr>
        <w:t>年</w:t>
      </w:r>
      <w:r>
        <w:rPr>
          <w:rFonts w:hint="eastAsia"/>
          <w:lang w:val="en-US" w:eastAsia="zh-CN"/>
        </w:rPr>
        <w:t>7</w:t>
      </w:r>
      <w:r>
        <w:rPr>
          <w:rFonts w:hint="eastAsia"/>
          <w:lang w:eastAsia="zh-Hans"/>
        </w:rPr>
        <w:t>月</w:t>
      </w:r>
      <w:r>
        <w:rPr>
          <w:rFonts w:hint="eastAsia"/>
          <w:lang w:val="en-US" w:eastAsia="zh-CN"/>
        </w:rPr>
        <w:t>19</w:t>
      </w:r>
      <w:r>
        <w:rPr>
          <w:rFonts w:hint="eastAsia"/>
          <w:lang w:eastAsia="zh-Hans"/>
        </w:rPr>
        <w:t>日10时至202</w:t>
      </w:r>
      <w:r>
        <w:rPr>
          <w:rFonts w:hint="eastAsia"/>
          <w:lang w:val="en-US" w:eastAsia="zh-CN"/>
        </w:rPr>
        <w:t>6</w:t>
      </w:r>
      <w:r>
        <w:rPr>
          <w:rFonts w:hint="eastAsia"/>
          <w:lang w:eastAsia="zh-Hans"/>
        </w:rPr>
        <w:t>年</w:t>
      </w:r>
      <w:r>
        <w:rPr>
          <w:rFonts w:hint="eastAsia"/>
          <w:lang w:val="en-US" w:eastAsia="zh-CN"/>
        </w:rPr>
        <w:t>7</w:t>
      </w:r>
      <w:r>
        <w:rPr>
          <w:rFonts w:hint="eastAsia"/>
          <w:lang w:eastAsia="zh-Hans"/>
        </w:rPr>
        <w:t>月</w:t>
      </w:r>
      <w:r>
        <w:rPr>
          <w:rFonts w:hint="eastAsia"/>
          <w:lang w:val="en-US" w:eastAsia="zh-CN"/>
        </w:rPr>
        <w:t>20</w:t>
      </w:r>
      <w:r>
        <w:rPr>
          <w:rFonts w:hint="eastAsia"/>
          <w:lang w:eastAsia="zh-Hans"/>
        </w:rPr>
        <w:t>日10时止（延时顺延）在京东拍卖平台【处置</w:t>
      </w:r>
      <w:r>
        <w:rPr>
          <w:rFonts w:hint="eastAsia"/>
        </w:rPr>
        <w:t>单位</w:t>
      </w:r>
      <w:r>
        <w:rPr>
          <w:rFonts w:hint="eastAsia"/>
          <w:lang w:eastAsia="zh-Hans"/>
        </w:rPr>
        <w:t>：</w:t>
      </w:r>
      <w:r>
        <w:rPr>
          <w:rFonts w:hint="eastAsia"/>
        </w:rPr>
        <w:t>厦门兴基伟业房地产开发</w:t>
      </w:r>
      <w:r>
        <w:rPr>
          <w:rFonts w:hint="eastAsia"/>
          <w:lang w:eastAsia="zh-Hans"/>
        </w:rPr>
        <w:t>有限公司管理人；监督单位：</w:t>
      </w:r>
      <w:r>
        <w:rPr>
          <w:rFonts w:hint="eastAsia"/>
        </w:rPr>
        <w:t>厦门市中级</w:t>
      </w:r>
      <w:r>
        <w:rPr>
          <w:rFonts w:hint="eastAsia"/>
          <w:lang w:eastAsia="zh-Hans"/>
        </w:rPr>
        <w:t>人民法院；网址：https://auction.jd.com/bankrupt.html】进行公开拍卖活动，现公告如下：</w:t>
      </w:r>
    </w:p>
    <w:p w14:paraId="5E7F45E1">
      <w:pPr>
        <w:pStyle w:val="6"/>
        <w:numPr>
          <w:ilvl w:val="0"/>
          <w:numId w:val="1"/>
        </w:numPr>
        <w:shd w:val="clear" w:color="auto" w:fill="FFFFFF"/>
        <w:spacing w:before="156" w:beforeLines="50" w:beforeAutospacing="0" w:after="0" w:afterAutospacing="0" w:line="480" w:lineRule="exact"/>
        <w:ind w:firstLine="480" w:firstLineChars="200"/>
        <w:jc w:val="both"/>
        <w:rPr>
          <w:b/>
          <w:bCs/>
        </w:rPr>
      </w:pPr>
      <w:r>
        <w:rPr>
          <w:rFonts w:hint="eastAsia"/>
          <w:b/>
          <w:bCs/>
        </w:rPr>
        <w:t>拍卖标的</w:t>
      </w:r>
      <w:r>
        <w:rPr>
          <w:rFonts w:hint="eastAsia"/>
          <w:b/>
          <w:bCs/>
          <w:lang w:eastAsia="zh-Hans"/>
        </w:rPr>
        <w:t>及起拍价</w:t>
      </w:r>
    </w:p>
    <w:p w14:paraId="53A8C139">
      <w:pPr>
        <w:pStyle w:val="6"/>
        <w:shd w:val="clear" w:color="auto" w:fill="FFFFFF"/>
        <w:spacing w:before="0" w:beforeAutospacing="0" w:after="0" w:afterAutospacing="0" w:line="480" w:lineRule="exact"/>
        <w:ind w:firstLine="480" w:firstLineChars="200"/>
        <w:jc w:val="both"/>
        <w:rPr>
          <w:b/>
          <w:bCs/>
        </w:rPr>
      </w:pPr>
      <w:r>
        <w:rPr>
          <w:rFonts w:hint="eastAsia"/>
          <w:b/>
          <w:bCs/>
          <w:lang w:eastAsia="zh-Hans"/>
        </w:rPr>
        <w:t>（一）拍卖标的：厦门市</w:t>
      </w:r>
      <w:r>
        <w:rPr>
          <w:rFonts w:hint="eastAsia"/>
          <w:b/>
          <w:bCs/>
        </w:rPr>
        <w:t>思明区塔埔路1</w:t>
      </w:r>
      <w:r>
        <w:rPr>
          <w:rFonts w:hint="eastAsia"/>
          <w:b/>
          <w:bCs/>
          <w:lang w:val="en-US" w:eastAsia="zh-CN"/>
        </w:rPr>
        <w:t>7</w:t>
      </w:r>
      <w:r>
        <w:rPr>
          <w:rFonts w:hint="eastAsia"/>
          <w:b/>
          <w:bCs/>
        </w:rPr>
        <w:t>号</w:t>
      </w:r>
      <w:r>
        <w:rPr>
          <w:rFonts w:hint="eastAsia"/>
          <w:b/>
          <w:bCs/>
          <w:lang w:val="en-US" w:eastAsia="zh-CN"/>
        </w:rPr>
        <w:t>3701</w:t>
      </w:r>
      <w:r>
        <w:rPr>
          <w:rFonts w:hint="eastAsia"/>
          <w:b/>
          <w:bCs/>
        </w:rPr>
        <w:t>室</w:t>
      </w:r>
      <w:r>
        <w:rPr>
          <w:rFonts w:hint="eastAsia"/>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309"/>
        <w:gridCol w:w="1839"/>
        <w:gridCol w:w="2076"/>
      </w:tblGrid>
      <w:tr w14:paraId="6C642B6B">
        <w:trPr>
          <w:jc w:val="center"/>
        </w:trPr>
        <w:tc>
          <w:tcPr>
            <w:tcW w:w="2074" w:type="dxa"/>
            <w:vAlign w:val="center"/>
          </w:tcPr>
          <w:p w14:paraId="0C09848C">
            <w:pPr>
              <w:pStyle w:val="6"/>
              <w:tabs>
                <w:tab w:val="left" w:pos="840"/>
              </w:tabs>
              <w:spacing w:before="0" w:beforeAutospacing="0" w:after="0" w:afterAutospacing="0" w:line="480" w:lineRule="exact"/>
              <w:jc w:val="center"/>
              <w:rPr>
                <w:b/>
                <w:bCs/>
                <w:lang w:eastAsia="zh-Hans"/>
              </w:rPr>
            </w:pPr>
            <w:r>
              <w:rPr>
                <w:rFonts w:hint="eastAsia"/>
                <w:b/>
                <w:bCs/>
                <w:lang w:eastAsia="zh-Hans"/>
              </w:rPr>
              <w:t>房屋坐落</w:t>
            </w:r>
          </w:p>
        </w:tc>
        <w:tc>
          <w:tcPr>
            <w:tcW w:w="6222" w:type="dxa"/>
            <w:gridSpan w:val="3"/>
            <w:vAlign w:val="center"/>
          </w:tcPr>
          <w:p w14:paraId="642EA45B">
            <w:pPr>
              <w:pStyle w:val="6"/>
              <w:tabs>
                <w:tab w:val="left" w:pos="840"/>
              </w:tabs>
              <w:spacing w:before="0" w:beforeAutospacing="0" w:after="0" w:afterAutospacing="0" w:line="480" w:lineRule="exact"/>
              <w:jc w:val="center"/>
            </w:pPr>
            <w:r>
              <w:rPr>
                <w:rFonts w:hint="eastAsia"/>
              </w:rPr>
              <w:t>厦门市思明区塔埔路1</w:t>
            </w:r>
            <w:r>
              <w:rPr>
                <w:rFonts w:hint="eastAsia"/>
                <w:lang w:val="en-US" w:eastAsia="zh-CN"/>
              </w:rPr>
              <w:t>7</w:t>
            </w:r>
            <w:r>
              <w:rPr>
                <w:rFonts w:hint="eastAsia"/>
              </w:rPr>
              <w:t>号</w:t>
            </w:r>
            <w:r>
              <w:rPr>
                <w:rFonts w:hint="eastAsia"/>
                <w:lang w:val="en-US" w:eastAsia="zh-CN"/>
              </w:rPr>
              <w:t>3701</w:t>
            </w:r>
            <w:r>
              <w:rPr>
                <w:rFonts w:hint="eastAsia"/>
              </w:rPr>
              <w:t>室</w:t>
            </w:r>
          </w:p>
        </w:tc>
      </w:tr>
      <w:tr w14:paraId="322506D1">
        <w:trPr>
          <w:jc w:val="center"/>
        </w:trPr>
        <w:tc>
          <w:tcPr>
            <w:tcW w:w="2074" w:type="dxa"/>
            <w:vAlign w:val="center"/>
          </w:tcPr>
          <w:p w14:paraId="59E2AB72">
            <w:pPr>
              <w:pStyle w:val="6"/>
              <w:tabs>
                <w:tab w:val="left" w:pos="840"/>
              </w:tabs>
              <w:spacing w:before="0" w:beforeAutospacing="0" w:after="0" w:afterAutospacing="0" w:line="480" w:lineRule="exact"/>
              <w:jc w:val="center"/>
              <w:rPr>
                <w:b/>
                <w:bCs/>
                <w:lang w:eastAsia="zh-Hans"/>
              </w:rPr>
            </w:pPr>
            <w:r>
              <w:rPr>
                <w:rFonts w:hint="eastAsia"/>
                <w:b/>
                <w:bCs/>
              </w:rPr>
              <w:t>不动产权证号</w:t>
            </w:r>
          </w:p>
        </w:tc>
        <w:tc>
          <w:tcPr>
            <w:tcW w:w="2309" w:type="dxa"/>
            <w:vAlign w:val="center"/>
          </w:tcPr>
          <w:p w14:paraId="67D80CC1">
            <w:pPr>
              <w:pStyle w:val="6"/>
              <w:tabs>
                <w:tab w:val="left" w:pos="840"/>
              </w:tabs>
              <w:spacing w:before="0" w:beforeAutospacing="0" w:after="0" w:afterAutospacing="0" w:line="480" w:lineRule="exact"/>
              <w:jc w:val="center"/>
            </w:pPr>
            <w:r>
              <w:rPr>
                <w:rFonts w:hint="eastAsia"/>
              </w:rPr>
              <w:t>一手交易，未办证</w:t>
            </w:r>
          </w:p>
        </w:tc>
        <w:tc>
          <w:tcPr>
            <w:tcW w:w="1839" w:type="dxa"/>
            <w:vAlign w:val="center"/>
          </w:tcPr>
          <w:p w14:paraId="666E27DF">
            <w:pPr>
              <w:pStyle w:val="6"/>
              <w:tabs>
                <w:tab w:val="left" w:pos="840"/>
              </w:tabs>
              <w:spacing w:before="0" w:beforeAutospacing="0" w:after="0" w:afterAutospacing="0" w:line="480" w:lineRule="exact"/>
              <w:jc w:val="center"/>
              <w:rPr>
                <w:lang w:eastAsia="zh-Hans"/>
              </w:rPr>
            </w:pPr>
            <w:r>
              <w:rPr>
                <w:rFonts w:hint="eastAsia"/>
                <w:b/>
                <w:bCs/>
                <w:lang w:eastAsia="zh-Hans"/>
              </w:rPr>
              <w:t>规划用途</w:t>
            </w:r>
          </w:p>
        </w:tc>
        <w:tc>
          <w:tcPr>
            <w:tcW w:w="2074" w:type="dxa"/>
            <w:vAlign w:val="center"/>
          </w:tcPr>
          <w:p w14:paraId="2AFC7519">
            <w:pPr>
              <w:pStyle w:val="6"/>
              <w:tabs>
                <w:tab w:val="left" w:pos="840"/>
              </w:tabs>
              <w:spacing w:before="0" w:beforeAutospacing="0" w:after="0" w:afterAutospacing="0" w:line="480" w:lineRule="exact"/>
              <w:jc w:val="center"/>
            </w:pPr>
            <w:r>
              <w:rPr>
                <w:rFonts w:hint="eastAsia"/>
              </w:rPr>
              <w:t>住宅</w:t>
            </w:r>
          </w:p>
        </w:tc>
      </w:tr>
      <w:tr w14:paraId="675DE286">
        <w:trPr>
          <w:jc w:val="center"/>
        </w:trPr>
        <w:tc>
          <w:tcPr>
            <w:tcW w:w="2074" w:type="dxa"/>
            <w:vAlign w:val="center"/>
          </w:tcPr>
          <w:p w14:paraId="51834562">
            <w:pPr>
              <w:pStyle w:val="6"/>
              <w:tabs>
                <w:tab w:val="left" w:pos="840"/>
              </w:tabs>
              <w:spacing w:before="0" w:beforeAutospacing="0" w:after="0" w:afterAutospacing="0" w:line="480" w:lineRule="exact"/>
              <w:jc w:val="center"/>
              <w:rPr>
                <w:b/>
                <w:bCs/>
                <w:lang w:eastAsia="zh-Hans"/>
              </w:rPr>
            </w:pPr>
            <w:r>
              <w:rPr>
                <w:rFonts w:hint="eastAsia"/>
                <w:b/>
                <w:bCs/>
                <w:lang w:eastAsia="zh-Hans"/>
              </w:rPr>
              <w:t>建筑面积</w:t>
            </w:r>
          </w:p>
        </w:tc>
        <w:tc>
          <w:tcPr>
            <w:tcW w:w="2309" w:type="dxa"/>
            <w:vAlign w:val="center"/>
          </w:tcPr>
          <w:p w14:paraId="3409A90D">
            <w:pPr>
              <w:pStyle w:val="6"/>
              <w:tabs>
                <w:tab w:val="left" w:pos="840"/>
              </w:tabs>
              <w:spacing w:before="0" w:beforeAutospacing="0" w:after="0" w:afterAutospacing="0" w:line="480" w:lineRule="exact"/>
              <w:jc w:val="center"/>
            </w:pPr>
            <w:r>
              <w:rPr>
                <w:rFonts w:hint="eastAsia"/>
                <w:lang w:val="en-US" w:eastAsia="zh-CN"/>
              </w:rPr>
              <w:t>200.85</w:t>
            </w:r>
            <w:r>
              <w:rPr>
                <w:rFonts w:hint="eastAsia"/>
              </w:rPr>
              <w:t>m</w:t>
            </w:r>
            <w:r>
              <w:rPr>
                <w:rFonts w:hint="eastAsia"/>
                <w:vertAlign w:val="superscript"/>
              </w:rPr>
              <w:t>2</w:t>
            </w:r>
          </w:p>
        </w:tc>
        <w:tc>
          <w:tcPr>
            <w:tcW w:w="1837" w:type="dxa"/>
            <w:vAlign w:val="center"/>
          </w:tcPr>
          <w:p w14:paraId="71A73980">
            <w:pPr>
              <w:pStyle w:val="6"/>
              <w:tabs>
                <w:tab w:val="left" w:pos="840"/>
              </w:tabs>
              <w:spacing w:before="0" w:beforeAutospacing="0" w:after="0" w:afterAutospacing="0" w:line="480" w:lineRule="exact"/>
              <w:jc w:val="center"/>
              <w:rPr>
                <w:b/>
                <w:bCs/>
              </w:rPr>
            </w:pPr>
            <w:r>
              <w:rPr>
                <w:rFonts w:hint="eastAsia"/>
                <w:b/>
                <w:bCs/>
              </w:rPr>
              <w:t>土地使用期限</w:t>
            </w:r>
          </w:p>
        </w:tc>
        <w:tc>
          <w:tcPr>
            <w:tcW w:w="2076" w:type="dxa"/>
            <w:vAlign w:val="center"/>
          </w:tcPr>
          <w:p w14:paraId="3755E547">
            <w:pPr>
              <w:pStyle w:val="6"/>
              <w:tabs>
                <w:tab w:val="left" w:pos="840"/>
              </w:tabs>
              <w:spacing w:before="0" w:beforeAutospacing="0" w:after="0" w:afterAutospacing="0" w:line="400" w:lineRule="exact"/>
              <w:jc w:val="center"/>
            </w:pPr>
            <w:r>
              <w:rPr>
                <w:rFonts w:hint="eastAsia"/>
              </w:rPr>
              <w:t>2007/05/10</w:t>
            </w:r>
          </w:p>
          <w:p w14:paraId="75499F58">
            <w:pPr>
              <w:pStyle w:val="6"/>
              <w:tabs>
                <w:tab w:val="left" w:pos="840"/>
              </w:tabs>
              <w:spacing w:before="0" w:beforeAutospacing="0" w:after="0" w:afterAutospacing="0" w:line="400" w:lineRule="exact"/>
              <w:jc w:val="center"/>
              <w:rPr>
                <w:lang w:eastAsia="zh-Hans"/>
              </w:rPr>
            </w:pPr>
            <w:r>
              <w:rPr>
                <w:rFonts w:hint="eastAsia"/>
                <w:lang w:eastAsia="zh-Hans"/>
              </w:rPr>
              <w:t>至</w:t>
            </w:r>
          </w:p>
          <w:p w14:paraId="2472E8E8">
            <w:pPr>
              <w:pStyle w:val="6"/>
              <w:tabs>
                <w:tab w:val="left" w:pos="840"/>
              </w:tabs>
              <w:spacing w:before="0" w:beforeAutospacing="0" w:after="0" w:afterAutospacing="0" w:line="400" w:lineRule="exact"/>
              <w:jc w:val="center"/>
            </w:pPr>
            <w:r>
              <w:rPr>
                <w:rFonts w:hint="eastAsia"/>
              </w:rPr>
              <w:t>2077/04/30</w:t>
            </w:r>
          </w:p>
        </w:tc>
      </w:tr>
      <w:tr w14:paraId="3D2EA9DC">
        <w:trPr>
          <w:jc w:val="center"/>
        </w:trPr>
        <w:tc>
          <w:tcPr>
            <w:tcW w:w="2074" w:type="dxa"/>
            <w:vAlign w:val="center"/>
          </w:tcPr>
          <w:p w14:paraId="17C80B25">
            <w:pPr>
              <w:pStyle w:val="6"/>
              <w:tabs>
                <w:tab w:val="left" w:pos="840"/>
              </w:tabs>
              <w:spacing w:before="0" w:beforeAutospacing="0" w:after="0" w:afterAutospacing="0" w:line="480" w:lineRule="exact"/>
              <w:jc w:val="center"/>
              <w:rPr>
                <w:b/>
                <w:bCs/>
                <w:lang w:eastAsia="zh-Hans"/>
              </w:rPr>
            </w:pPr>
            <w:r>
              <w:rPr>
                <w:rFonts w:hint="eastAsia"/>
                <w:b/>
                <w:bCs/>
                <w:lang w:eastAsia="zh-Hans"/>
              </w:rPr>
              <w:t>所在楼层</w:t>
            </w:r>
          </w:p>
        </w:tc>
        <w:tc>
          <w:tcPr>
            <w:tcW w:w="2309" w:type="dxa"/>
            <w:vAlign w:val="center"/>
          </w:tcPr>
          <w:p w14:paraId="70604376">
            <w:pPr>
              <w:pStyle w:val="6"/>
              <w:tabs>
                <w:tab w:val="left" w:pos="840"/>
              </w:tabs>
              <w:spacing w:before="0" w:beforeAutospacing="0" w:after="0" w:afterAutospacing="0" w:line="480" w:lineRule="exact"/>
              <w:jc w:val="center"/>
            </w:pPr>
            <w:r>
              <w:rPr>
                <w:rFonts w:hint="eastAsia"/>
                <w:lang w:val="en-US" w:eastAsia="zh-CN"/>
              </w:rPr>
              <w:t>37</w:t>
            </w:r>
            <w:r>
              <w:rPr>
                <w:rFonts w:hint="eastAsia"/>
              </w:rPr>
              <w:t>层</w:t>
            </w:r>
          </w:p>
        </w:tc>
        <w:tc>
          <w:tcPr>
            <w:tcW w:w="1837" w:type="dxa"/>
            <w:vAlign w:val="center"/>
          </w:tcPr>
          <w:p w14:paraId="3808E879">
            <w:pPr>
              <w:pStyle w:val="6"/>
              <w:tabs>
                <w:tab w:val="left" w:pos="840"/>
              </w:tabs>
              <w:spacing w:before="0" w:beforeAutospacing="0" w:after="0" w:afterAutospacing="0" w:line="480" w:lineRule="exact"/>
              <w:jc w:val="center"/>
              <w:rPr>
                <w:b/>
                <w:bCs/>
                <w:lang w:eastAsia="zh-Hans"/>
              </w:rPr>
            </w:pPr>
            <w:r>
              <w:rPr>
                <w:rFonts w:hint="eastAsia"/>
                <w:b/>
                <w:bCs/>
                <w:lang w:eastAsia="zh-Hans"/>
              </w:rPr>
              <w:t>房屋结构</w:t>
            </w:r>
          </w:p>
        </w:tc>
        <w:tc>
          <w:tcPr>
            <w:tcW w:w="2076" w:type="dxa"/>
            <w:vAlign w:val="center"/>
          </w:tcPr>
          <w:p w14:paraId="48CB454B">
            <w:pPr>
              <w:pStyle w:val="6"/>
              <w:tabs>
                <w:tab w:val="left" w:pos="840"/>
              </w:tabs>
              <w:spacing w:before="0" w:beforeAutospacing="0" w:after="0" w:afterAutospacing="0" w:line="480" w:lineRule="exact"/>
              <w:jc w:val="center"/>
              <w:rPr>
                <w:lang w:eastAsia="zh-Hans"/>
              </w:rPr>
            </w:pPr>
            <w:r>
              <w:rPr>
                <w:rFonts w:hint="eastAsia"/>
                <w:lang w:eastAsia="zh-Hans"/>
              </w:rPr>
              <w:t>钢筋混凝土</w:t>
            </w:r>
          </w:p>
          <w:p w14:paraId="392E3832">
            <w:pPr>
              <w:pStyle w:val="6"/>
              <w:tabs>
                <w:tab w:val="left" w:pos="840"/>
              </w:tabs>
              <w:spacing w:before="0" w:beforeAutospacing="0" w:after="0" w:afterAutospacing="0" w:line="480" w:lineRule="exact"/>
              <w:jc w:val="center"/>
            </w:pPr>
            <w:r>
              <w:rPr>
                <w:rFonts w:hint="eastAsia"/>
                <w:lang w:eastAsia="zh-Hans"/>
              </w:rPr>
              <w:t>结构</w:t>
            </w:r>
          </w:p>
        </w:tc>
      </w:tr>
      <w:tr w14:paraId="7BC23399">
        <w:trPr>
          <w:jc w:val="center"/>
        </w:trPr>
        <w:tc>
          <w:tcPr>
            <w:tcW w:w="2074" w:type="dxa"/>
            <w:vAlign w:val="center"/>
          </w:tcPr>
          <w:p w14:paraId="423732A4">
            <w:pPr>
              <w:pStyle w:val="6"/>
              <w:tabs>
                <w:tab w:val="left" w:pos="840"/>
              </w:tabs>
              <w:spacing w:before="0" w:beforeAutospacing="0" w:after="0" w:afterAutospacing="0" w:line="480" w:lineRule="exact"/>
              <w:jc w:val="center"/>
              <w:rPr>
                <w:b/>
                <w:bCs/>
                <w:lang w:eastAsia="zh-Hans"/>
              </w:rPr>
            </w:pPr>
            <w:r>
              <w:rPr>
                <w:rFonts w:hint="eastAsia"/>
                <w:b/>
                <w:bCs/>
                <w:lang w:eastAsia="zh-Hans"/>
              </w:rPr>
              <w:t>房屋现状</w:t>
            </w:r>
          </w:p>
        </w:tc>
        <w:tc>
          <w:tcPr>
            <w:tcW w:w="2309" w:type="dxa"/>
            <w:vAlign w:val="center"/>
          </w:tcPr>
          <w:p w14:paraId="5A9E8FA0">
            <w:pPr>
              <w:pStyle w:val="6"/>
              <w:tabs>
                <w:tab w:val="left" w:pos="840"/>
              </w:tabs>
              <w:spacing w:before="0" w:beforeAutospacing="0" w:after="0" w:afterAutospacing="0" w:line="480" w:lineRule="exact"/>
              <w:jc w:val="center"/>
              <w:rPr>
                <w:rFonts w:hint="eastAsia" w:eastAsia="宋体"/>
                <w:lang w:val="en-US" w:eastAsia="zh-CN"/>
              </w:rPr>
            </w:pPr>
            <w:r>
              <w:rPr>
                <w:rFonts w:hint="eastAsia"/>
                <w:lang w:val="en-US" w:eastAsia="zh-CN"/>
              </w:rPr>
              <w:t>空置</w:t>
            </w:r>
          </w:p>
        </w:tc>
        <w:tc>
          <w:tcPr>
            <w:tcW w:w="1837" w:type="dxa"/>
            <w:vAlign w:val="center"/>
          </w:tcPr>
          <w:p w14:paraId="0FF8C2FF">
            <w:pPr>
              <w:pStyle w:val="6"/>
              <w:tabs>
                <w:tab w:val="left" w:pos="840"/>
              </w:tabs>
              <w:spacing w:before="0" w:beforeAutospacing="0" w:after="0" w:afterAutospacing="0" w:line="480" w:lineRule="exact"/>
              <w:jc w:val="center"/>
              <w:rPr>
                <w:b/>
                <w:bCs/>
                <w:lang w:eastAsia="zh-Hans"/>
              </w:rPr>
            </w:pPr>
            <w:r>
              <w:rPr>
                <w:rFonts w:hint="eastAsia"/>
                <w:b/>
                <w:bCs/>
                <w:lang w:eastAsia="zh-Hans"/>
              </w:rPr>
              <w:t>竣工时间</w:t>
            </w:r>
          </w:p>
        </w:tc>
        <w:tc>
          <w:tcPr>
            <w:tcW w:w="2076" w:type="dxa"/>
            <w:vAlign w:val="center"/>
          </w:tcPr>
          <w:p w14:paraId="555D6A41">
            <w:pPr>
              <w:pStyle w:val="6"/>
              <w:tabs>
                <w:tab w:val="left" w:pos="840"/>
              </w:tabs>
              <w:spacing w:before="0" w:beforeAutospacing="0" w:after="0" w:afterAutospacing="0" w:line="480" w:lineRule="exact"/>
              <w:jc w:val="center"/>
              <w:rPr>
                <w:lang w:eastAsia="zh-Hans"/>
              </w:rPr>
            </w:pPr>
            <w:r>
              <w:rPr>
                <w:rFonts w:hint="eastAsia"/>
              </w:rPr>
              <w:t>2014</w:t>
            </w:r>
            <w:r>
              <w:rPr>
                <w:rFonts w:hint="eastAsia"/>
                <w:lang w:eastAsia="zh-Hans"/>
              </w:rPr>
              <w:t>年</w:t>
            </w:r>
          </w:p>
        </w:tc>
      </w:tr>
    </w:tbl>
    <w:p w14:paraId="64427BAD">
      <w:pPr>
        <w:pStyle w:val="6"/>
        <w:numPr>
          <w:ilvl w:val="0"/>
          <w:numId w:val="2"/>
        </w:numPr>
        <w:shd w:val="clear" w:color="auto" w:fill="FFFFFF"/>
        <w:spacing w:before="0" w:beforeAutospacing="0" w:after="0" w:afterAutospacing="0" w:line="480" w:lineRule="exact"/>
        <w:ind w:firstLine="480" w:firstLineChars="200"/>
        <w:jc w:val="both"/>
        <w:rPr>
          <w:b/>
          <w:bCs/>
        </w:rPr>
      </w:pPr>
      <w:r>
        <w:rPr>
          <w:rFonts w:hint="eastAsia"/>
          <w:b/>
          <w:bCs/>
          <w:lang w:eastAsia="zh-Hans"/>
        </w:rPr>
        <w:t>起拍价、保证金及增价幅度：</w:t>
      </w:r>
      <w:r>
        <w:rPr>
          <w:rFonts w:hint="eastAsia"/>
        </w:rPr>
        <w:t>起拍价为人民币</w:t>
      </w:r>
      <w:r>
        <w:rPr>
          <w:rFonts w:hint="eastAsia"/>
          <w:lang w:val="en-US" w:eastAsia="zh-CN"/>
        </w:rPr>
        <w:t>6178484</w:t>
      </w:r>
      <w:r>
        <w:rPr>
          <w:rFonts w:hint="eastAsia"/>
        </w:rPr>
        <w:t>元，保证金为人民币</w:t>
      </w:r>
      <w:r>
        <w:rPr>
          <w:rFonts w:hint="eastAsia"/>
          <w:lang w:val="en-US" w:eastAsia="zh-CN"/>
        </w:rPr>
        <w:t>60</w:t>
      </w:r>
      <w:r>
        <w:rPr>
          <w:rFonts w:hint="eastAsia"/>
        </w:rPr>
        <w:t>万元，</w:t>
      </w:r>
      <w:r>
        <w:rPr>
          <w:rFonts w:hint="eastAsia"/>
          <w:lang w:eastAsia="zh-Hans"/>
        </w:rPr>
        <w:t>每次</w:t>
      </w:r>
      <w:r>
        <w:rPr>
          <w:rFonts w:hint="eastAsia"/>
        </w:rPr>
        <w:t>竞价增价幅度为人民币1万元或其整数倍。</w:t>
      </w:r>
    </w:p>
    <w:p w14:paraId="658F88DE">
      <w:pPr>
        <w:pStyle w:val="6"/>
        <w:numPr>
          <w:ilvl w:val="0"/>
          <w:numId w:val="1"/>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咨询</w:t>
      </w:r>
      <w:r>
        <w:rPr>
          <w:rFonts w:hint="eastAsia"/>
          <w:b/>
          <w:bCs/>
          <w:lang w:eastAsia="zh-Hans"/>
        </w:rPr>
        <w:t>、尽职调查的时间与方式</w:t>
      </w:r>
    </w:p>
    <w:p w14:paraId="4E829180">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自本公告发布之日起至202</w:t>
      </w:r>
      <w:r>
        <w:rPr>
          <w:rFonts w:hint="eastAsia"/>
          <w:lang w:val="en-US" w:eastAsia="zh-CN"/>
        </w:rPr>
        <w:t>6年7</w:t>
      </w:r>
      <w:r>
        <w:rPr>
          <w:rFonts w:hint="eastAsia"/>
          <w:lang w:eastAsia="zh-Hans"/>
        </w:rPr>
        <w:t>月</w:t>
      </w:r>
      <w:r>
        <w:rPr>
          <w:rFonts w:hint="eastAsia"/>
          <w:lang w:val="en-US" w:eastAsia="zh-CN"/>
        </w:rPr>
        <w:t>17</w:t>
      </w:r>
      <w:r>
        <w:rPr>
          <w:rFonts w:hint="eastAsia"/>
          <w:lang w:eastAsia="zh-Hans"/>
        </w:rPr>
        <w:t>日止（休息日节假日除外）接受咨询。有意者请与管理人联系，管理人将统一安排。</w:t>
      </w:r>
    </w:p>
    <w:p w14:paraId="0214C813">
      <w:pPr>
        <w:pStyle w:val="6"/>
        <w:numPr>
          <w:ilvl w:val="0"/>
          <w:numId w:val="3"/>
        </w:numPr>
        <w:shd w:val="clear" w:color="auto" w:fill="FFFFFF"/>
        <w:spacing w:before="312" w:beforeLines="100" w:beforeAutospacing="0" w:after="0" w:afterAutospacing="0" w:line="360" w:lineRule="auto"/>
        <w:ind w:firstLine="480" w:firstLineChars="200"/>
        <w:jc w:val="both"/>
        <w:rPr>
          <w:b/>
          <w:bCs/>
        </w:rPr>
      </w:pPr>
      <w:r>
        <w:rPr>
          <w:rFonts w:hint="eastAsia"/>
          <w:b/>
          <w:bCs/>
        </w:rPr>
        <w:t>拍卖标的优先购买权人</w:t>
      </w:r>
    </w:p>
    <w:p w14:paraId="724C3BF1">
      <w:pPr>
        <w:pStyle w:val="6"/>
        <w:shd w:val="clear" w:color="auto" w:fill="FFFFFF"/>
        <w:spacing w:before="0" w:beforeAutospacing="0" w:after="0" w:afterAutospacing="0" w:line="360" w:lineRule="auto"/>
        <w:ind w:firstLine="480" w:firstLineChars="200"/>
        <w:jc w:val="both"/>
        <w:rPr>
          <w:b/>
          <w:bCs/>
          <w:highlight w:val="yellow"/>
        </w:rPr>
      </w:pPr>
      <w:r>
        <w:rPr>
          <w:rFonts w:hint="eastAsia"/>
          <w:b/>
          <w:bCs/>
        </w:rPr>
        <w:t>拍卖标的</w:t>
      </w:r>
      <w:r>
        <w:rPr>
          <w:rFonts w:hint="eastAsia"/>
          <w:b/>
          <w:bCs/>
          <w:lang w:eastAsia="zh-Hans"/>
        </w:rPr>
        <w:t>的</w:t>
      </w:r>
      <w:r>
        <w:rPr>
          <w:rFonts w:hint="eastAsia"/>
          <w:b/>
          <w:bCs/>
        </w:rPr>
        <w:t>优先购买权人参加竞买的，应于竞价活动开始5个工作日前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71A491D9">
      <w:pPr>
        <w:pStyle w:val="6"/>
        <w:numPr>
          <w:ilvl w:val="0"/>
          <w:numId w:val="3"/>
        </w:numPr>
        <w:shd w:val="clear" w:color="auto" w:fill="FFFFFF"/>
        <w:spacing w:before="312" w:beforeLines="100" w:beforeAutospacing="0" w:after="0" w:afterAutospacing="0" w:line="360" w:lineRule="auto"/>
        <w:ind w:firstLine="480" w:firstLineChars="200"/>
        <w:jc w:val="both"/>
        <w:rPr>
          <w:lang w:eastAsia="zh-Hans"/>
        </w:rPr>
      </w:pPr>
      <w:r>
        <w:rPr>
          <w:rFonts w:hint="eastAsia"/>
          <w:b/>
          <w:bCs/>
        </w:rPr>
        <w:t>对拍卖标的权属或者拍卖行为有异议者，请于竞价活动开始5个工作日前与管理人联系。</w:t>
      </w:r>
      <w:r>
        <w:rPr>
          <w:rFonts w:hint="eastAsia"/>
        </w:rPr>
        <w:t>与拍卖标的有利害关系的当事人可以参加竞价，不参加竞价的请自行关注本次竞价活动的整个过程。</w:t>
      </w:r>
    </w:p>
    <w:p w14:paraId="517C27FE">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五、</w:t>
      </w:r>
      <w:r>
        <w:rPr>
          <w:rFonts w:hint="eastAsia"/>
          <w:b/>
          <w:bCs/>
          <w:lang w:eastAsia="zh-Hans"/>
        </w:rPr>
        <w:t>竞价方式</w:t>
      </w:r>
    </w:p>
    <w:p w14:paraId="23172659">
      <w:pPr>
        <w:pStyle w:val="6"/>
        <w:shd w:val="clear" w:color="auto" w:fill="FFFFFF"/>
        <w:spacing w:before="0" w:beforeAutospacing="0" w:after="0" w:afterAutospacing="0" w:line="480" w:lineRule="exact"/>
        <w:ind w:firstLine="480" w:firstLineChars="200"/>
        <w:jc w:val="both"/>
        <w:rPr>
          <w:lang w:eastAsia="zh-Hans"/>
        </w:rPr>
      </w:pPr>
      <w:r>
        <w:rPr>
          <w:rFonts w:hint="eastAsia"/>
          <w:lang w:eastAsia="zh-Hans"/>
        </w:rPr>
        <w:t>（一）竞价从起拍价开始以递增出价方式竞价，每次竞价增</w:t>
      </w:r>
      <w:r>
        <w:rPr>
          <w:rFonts w:hint="eastAsia"/>
        </w:rPr>
        <w:t>价幅度为人民币1万元或其整数倍</w:t>
      </w:r>
      <w:r>
        <w:rPr>
          <w:rFonts w:hint="eastAsia"/>
          <w:lang w:eastAsia="zh-Hans"/>
        </w:rPr>
        <w:t>。</w:t>
      </w:r>
      <w:r>
        <w:rPr>
          <w:rFonts w:hint="eastAsia"/>
          <w:b/>
          <w:bCs/>
          <w:lang w:eastAsia="zh-Hans"/>
        </w:rPr>
        <w:t>竞买人低于起拍价的出价无效。</w:t>
      </w:r>
    </w:p>
    <w:p w14:paraId="4A26ED76">
      <w:pPr>
        <w:pStyle w:val="6"/>
        <w:shd w:val="clear" w:color="auto" w:fill="FFFFFF"/>
        <w:spacing w:before="0" w:beforeAutospacing="0" w:after="0" w:afterAutospacing="0" w:line="480" w:lineRule="exact"/>
        <w:ind w:firstLine="480" w:firstLineChars="200"/>
        <w:jc w:val="both"/>
        <w:rPr>
          <w:lang w:eastAsia="zh-Hans"/>
        </w:rPr>
      </w:pPr>
      <w:r>
        <w:rPr>
          <w:rFonts w:hint="eastAsia"/>
          <w:lang w:eastAsia="zh-Hans"/>
        </w:rPr>
        <w:t>（二）本次竞价活动设置延时出价功能，在竞价活动结束前，每最后5分钟如果有竞买人出价，将自动延迟5分钟。</w:t>
      </w:r>
    </w:p>
    <w:p w14:paraId="5270AC7F">
      <w:pPr>
        <w:pStyle w:val="6"/>
        <w:shd w:val="clear" w:color="auto" w:fill="FFFFFF"/>
        <w:spacing w:before="0" w:beforeAutospacing="0" w:after="0" w:afterAutospacing="0" w:line="480" w:lineRule="exact"/>
        <w:ind w:firstLine="480" w:firstLineChars="200"/>
        <w:jc w:val="both"/>
        <w:rPr>
          <w:b/>
          <w:bCs/>
          <w:lang w:eastAsia="zh-Hans"/>
        </w:rPr>
      </w:pPr>
      <w:r>
        <w:rPr>
          <w:rFonts w:hint="eastAsia"/>
          <w:b/>
          <w:bCs/>
          <w:lang w:eastAsia="zh-Hans"/>
        </w:rPr>
        <w:t>（三）本次拍卖保留价为起拍价。</w:t>
      </w:r>
    </w:p>
    <w:p w14:paraId="47965BCD">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rPr>
        <w:t>六、</w:t>
      </w:r>
      <w:r>
        <w:rPr>
          <w:rFonts w:hint="eastAsia"/>
          <w:b/>
          <w:bCs/>
          <w:lang w:eastAsia="zh-Hans"/>
        </w:rPr>
        <w:t>保证金与</w:t>
      </w:r>
      <w:r>
        <w:rPr>
          <w:rFonts w:hint="eastAsia"/>
          <w:b/>
          <w:bCs/>
        </w:rPr>
        <w:t>拍卖价款的</w:t>
      </w:r>
      <w:r>
        <w:rPr>
          <w:rFonts w:hint="eastAsia"/>
          <w:b/>
          <w:bCs/>
          <w:lang w:eastAsia="zh-Hans"/>
        </w:rPr>
        <w:t>支付</w:t>
      </w:r>
    </w:p>
    <w:p w14:paraId="6E4CB53D">
      <w:pPr>
        <w:pStyle w:val="6"/>
        <w:numPr>
          <w:ilvl w:val="255"/>
          <w:numId w:val="0"/>
        </w:numPr>
        <w:shd w:val="clear" w:color="auto" w:fill="FFFFFF"/>
        <w:spacing w:before="0" w:beforeAutospacing="0" w:after="0" w:afterAutospacing="0" w:line="360" w:lineRule="auto"/>
        <w:ind w:firstLine="480" w:firstLineChars="200"/>
        <w:jc w:val="both"/>
        <w:rPr>
          <w:lang w:eastAsia="zh-Hans"/>
        </w:rPr>
      </w:pPr>
      <w:r>
        <w:rPr>
          <w:rFonts w:hint="eastAsia"/>
          <w:lang w:eastAsia="zh-Hans"/>
        </w:rPr>
        <w:t>（一）第一次出价前，意向竞买人须在京东注册账号并通过实名认证（已注册京东账号需通过实名认证），在线支付竞买保证金，支付后系统自动冻结该笔保证金，竞价成交的，待买受人支付完毕京东支付技术服务费后，拍卖标的竞得者（以下称买受人）被冻结的保证金将由京东结算给管理人指定账户。竞价结束后，未能竞得者的保证金以及竞价未成交的（即流拍的）竞买人的保证金在竞价活动结束后即时解冻，保证金冻结期间不计利息。</w:t>
      </w:r>
    </w:p>
    <w:p w14:paraId="0FD1E956">
      <w:pPr>
        <w:pStyle w:val="6"/>
        <w:numPr>
          <w:ilvl w:val="255"/>
          <w:numId w:val="0"/>
        </w:numPr>
        <w:shd w:val="clear" w:color="auto" w:fill="FFFFFF"/>
        <w:spacing w:before="0" w:beforeAutospacing="0" w:after="0" w:afterAutospacing="0" w:line="360" w:lineRule="auto"/>
        <w:ind w:firstLine="480" w:firstLineChars="200"/>
        <w:jc w:val="both"/>
        <w:rPr>
          <w:b/>
          <w:bCs/>
        </w:rPr>
      </w:pPr>
      <w:r>
        <w:rPr>
          <w:rFonts w:hint="eastAsia"/>
        </w:rPr>
        <w:t>（二）</w:t>
      </w:r>
      <w:r>
        <w:rPr>
          <w:rFonts w:hint="eastAsia"/>
          <w:b/>
          <w:bCs/>
        </w:rPr>
        <w:t>竞价成交后，买受人缴纳的保证金可以充抵价款，拍卖标的买受人原锁定的保证金24小时内自动转入管理人指定账户。拍卖余款买受人应在拍卖成交之日起10个自然日内将拍卖价款全部支付给管理人。管理人收款账户如下：</w:t>
      </w:r>
    </w:p>
    <w:p w14:paraId="02F14B9B">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户  名：厦门</w:t>
      </w:r>
      <w:r>
        <w:rPr>
          <w:rFonts w:hint="eastAsia"/>
        </w:rPr>
        <w:t>兴基伟业房地产开发有限公司</w:t>
      </w:r>
      <w:r>
        <w:rPr>
          <w:rFonts w:hint="eastAsia"/>
          <w:lang w:eastAsia="zh-Hans"/>
        </w:rPr>
        <w:t>管理人</w:t>
      </w:r>
    </w:p>
    <w:p w14:paraId="7DEE3818">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开户行：中国银行股份有限公司厦门开元支行</w:t>
      </w:r>
    </w:p>
    <w:p w14:paraId="36EAF92B">
      <w:pPr>
        <w:pStyle w:val="6"/>
        <w:numPr>
          <w:ilvl w:val="255"/>
          <w:numId w:val="0"/>
        </w:numPr>
        <w:shd w:val="clear" w:color="auto" w:fill="FFFFFF"/>
        <w:spacing w:before="0" w:beforeAutospacing="0" w:after="0" w:afterAutospacing="0" w:line="480" w:lineRule="exact"/>
        <w:ind w:firstLine="480" w:firstLineChars="200"/>
        <w:jc w:val="both"/>
      </w:pPr>
      <w:r>
        <w:rPr>
          <w:rFonts w:hint="eastAsia"/>
          <w:lang w:eastAsia="zh-Hans"/>
        </w:rPr>
        <w:t>账  号：4</w:t>
      </w:r>
      <w:r>
        <w:rPr>
          <w:rFonts w:hint="eastAsia"/>
        </w:rPr>
        <w:t>29983869856</w:t>
      </w:r>
    </w:p>
    <w:p w14:paraId="6F65A82E">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三）本次拍卖竞买人可以通过向有关金融机构申请办理按揭贷款的形式支付竞价款，请有意向的竞买人自行选择金融机构咨询办理，并详尽了解金融机构提供的所有服务内容及各项业务流程。竞买人应确保其与金融机构办理的贷款满足其支付拍卖成交价款的需求。无论基于任何原因，金融机构未能按期发放贷款、未足额发放贷款，买受人仍应在拍卖文件规定的期限内补足全部成交价款，否则买受人仍应承担未能按期付清拍卖成交价款的法律责任。</w:t>
      </w:r>
    </w:p>
    <w:p w14:paraId="29F1EA71">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四）因标的物本身价值较高，其起拍价、保证金、竞拍成交价相对较高，竞买人参与竞拍，支付保证金及拍卖价款可能会遇到当天限额无法支付的情况，请竞买人根据自身情况选择网上充值银行。各大银行充值和支付的限额情况可上网查询，网址https://help.jd.com/user/issue/359-1659.html。</w:t>
      </w:r>
    </w:p>
    <w:p w14:paraId="40BBC319">
      <w:pPr>
        <w:pStyle w:val="6"/>
        <w:numPr>
          <w:ilvl w:val="255"/>
          <w:numId w:val="0"/>
        </w:numPr>
        <w:shd w:val="clear" w:color="auto" w:fill="FFFFFF"/>
        <w:spacing w:before="0" w:beforeAutospacing="0" w:after="0" w:afterAutospacing="0" w:line="480" w:lineRule="exact"/>
        <w:ind w:firstLine="480" w:firstLineChars="200"/>
        <w:jc w:val="both"/>
      </w:pPr>
      <w:r>
        <w:rPr>
          <w:rFonts w:hint="eastAsia"/>
          <w:b/>
          <w:bCs/>
        </w:rPr>
        <w:t>（五）买受人不符合竞拍资格或有未按期足额支付竞价款、悔拍等行为的，管理人可以决定重新拍卖。重新拍卖时，原买受人不得参加竞买。存在前述行为的买受人已交纳的保证金及已支付的价款不予退还，依次用于支付拍卖产生的费用损失、弥补重新拍卖价款低于原拍卖价款的差价、清偿本案债务人所负债务；如保证金及已支付的价款不足以支付拍卖产生的费用损失和弥补重新拍卖价款低于原拍卖价款差价的，买受人还应承担其差额的损失赔偿责任。</w:t>
      </w:r>
    </w:p>
    <w:p w14:paraId="7E386BF2">
      <w:pPr>
        <w:pStyle w:val="6"/>
        <w:numPr>
          <w:ilvl w:val="255"/>
          <w:numId w:val="0"/>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七、拍卖标的交付及过户手续办理</w:t>
      </w:r>
    </w:p>
    <w:p w14:paraId="55922942">
      <w:pPr>
        <w:pStyle w:val="6"/>
        <w:numPr>
          <w:ilvl w:val="255"/>
          <w:numId w:val="0"/>
        </w:numPr>
        <w:shd w:val="clear" w:color="auto" w:fill="FFFFFF"/>
        <w:spacing w:before="0" w:beforeAutospacing="0" w:after="0" w:afterAutospacing="0" w:line="480" w:lineRule="exact"/>
        <w:ind w:firstLine="480" w:firstLineChars="200"/>
        <w:jc w:val="both"/>
        <w:rPr>
          <w:b/>
          <w:bCs/>
        </w:rPr>
      </w:pPr>
      <w:r>
        <w:rPr>
          <w:rFonts w:hint="eastAsia"/>
        </w:rPr>
        <w:t>（一）买受人应于付清全部拍卖成交款后</w:t>
      </w:r>
      <w:r>
        <w:rPr>
          <w:rFonts w:hint="eastAsia"/>
          <w:b/>
          <w:bCs/>
        </w:rPr>
        <w:t>3个工作日内（遇休息日节假日顺延）</w:t>
      </w:r>
      <w:r>
        <w:rPr>
          <w:rFonts w:hint="eastAsia"/>
        </w:rPr>
        <w:t>凭付款凭证及相关身份材料（个人持身份证、单位持营业执照、法定代表人或负责人身份证明文件）到管理人处签署拍卖成交确认文件，并办理拍卖标的交付手续。</w:t>
      </w:r>
      <w:r>
        <w:rPr>
          <w:rFonts w:hint="eastAsia"/>
          <w:b/>
          <w:bCs/>
        </w:rPr>
        <w:t>买受人逾期办理交付手续的，于前述时间届满之日18:00视为管理人已将拍卖标的所有权移交买受人，买受人自行承担全部的责任和风险。</w:t>
      </w:r>
    </w:p>
    <w:p w14:paraId="6345BD0A">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（二）买受人须在竞价成功后，按照相关规定申报、缴纳相关税费（关于税费承担的具体问题详见《竞拍须知》第十条）。</w:t>
      </w:r>
    </w:p>
    <w:p w14:paraId="05721056">
      <w:pPr>
        <w:pStyle w:val="6"/>
        <w:numPr>
          <w:ilvl w:val="255"/>
          <w:numId w:val="0"/>
        </w:numPr>
        <w:shd w:val="clear" w:color="auto" w:fill="FFFFFF"/>
        <w:spacing w:before="0" w:beforeAutospacing="0" w:after="0" w:afterAutospacing="0" w:line="480" w:lineRule="exact"/>
        <w:ind w:firstLine="480" w:firstLineChars="200"/>
        <w:jc w:val="both"/>
        <w:rPr>
          <w:b/>
          <w:bCs/>
          <w:u w:val="single"/>
        </w:rPr>
      </w:pPr>
      <w:r>
        <w:rPr>
          <w:rFonts w:hint="eastAsia"/>
          <w:b/>
          <w:bCs/>
          <w:u w:val="single"/>
        </w:rPr>
        <w:t>（三）拍卖成交且买受人支付完毕全部价款、提交身份材料以后，管理人将申请法院出具《民事裁定书》给买受人。买受人必须在其收到法院出具的《民事裁定书》之日起30日内自行到相关主管部门办理相关过户手续及其他税费缴交事宜，管理人将给予必要的协助，但拍卖标的的过户风险由买受人自行承担。</w:t>
      </w:r>
    </w:p>
    <w:p w14:paraId="03E975B5">
      <w:pPr>
        <w:pStyle w:val="6"/>
        <w:numPr>
          <w:ilvl w:val="0"/>
          <w:numId w:val="4"/>
        </w:numPr>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风险提示和特别说明</w:t>
      </w:r>
    </w:p>
    <w:p w14:paraId="2E5558A7">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拍卖方（管理人）未授权或指定任何特定的机构对本次拍卖活动提供相关金融服务，买受人与相关金融机构之间的权利义务、纠纷由买受人自行和金融机构处理，与管理人无关。</w:t>
      </w:r>
    </w:p>
    <w:p w14:paraId="1B36C57A">
      <w:pPr>
        <w:pStyle w:val="6"/>
        <w:numPr>
          <w:ilvl w:val="255"/>
          <w:numId w:val="0"/>
        </w:numPr>
        <w:shd w:val="clear" w:color="auto" w:fill="FFFFFF"/>
        <w:spacing w:before="0" w:beforeAutospacing="0" w:after="0" w:afterAutospacing="0" w:line="480" w:lineRule="exact"/>
        <w:ind w:firstLine="480" w:firstLineChars="200"/>
        <w:jc w:val="both"/>
        <w:rPr>
          <w:b/>
          <w:bCs/>
          <w:lang w:eastAsia="zh-Hans"/>
        </w:rPr>
      </w:pPr>
      <w:r>
        <w:rPr>
          <w:rFonts w:hint="eastAsia"/>
          <w:lang w:eastAsia="zh-Hans"/>
        </w:rPr>
        <w:t>除本公告外，其他风险提示和特别说明部分内容详见《竞拍须知》。</w:t>
      </w:r>
    </w:p>
    <w:p w14:paraId="1F42A5C0">
      <w:pPr>
        <w:pStyle w:val="6"/>
        <w:numPr>
          <w:ilvl w:val="0"/>
          <w:numId w:val="4"/>
        </w:numPr>
        <w:shd w:val="clear" w:color="auto" w:fill="FFFFFF"/>
        <w:spacing w:before="156" w:beforeLines="50" w:beforeAutospacing="0" w:after="0" w:afterAutospacing="0" w:line="480" w:lineRule="exact"/>
        <w:ind w:firstLine="480" w:firstLineChars="200"/>
        <w:jc w:val="both"/>
        <w:rPr>
          <w:b/>
          <w:bCs/>
        </w:rPr>
      </w:pPr>
      <w:r>
        <w:rPr>
          <w:rFonts w:hint="eastAsia"/>
        </w:rPr>
        <w:t>竞买人在参与此次竞价活动前，请认真阅读本公告、《竞拍须知》及所有附件内容，以及相关法律、法规、规章及规范性文件的规定，并安排必要的尽职调查。</w:t>
      </w:r>
      <w:r>
        <w:rPr>
          <w:rFonts w:hint="eastAsia"/>
          <w:b/>
          <w:bCs/>
        </w:rPr>
        <w:t>竞买人支付竞买保证金，即视为其已对拍卖标的实施了审慎、充分的尽职调查，已充分了解拍卖文件及相关规定的内容及要求，并承诺自行承担法律责任。</w:t>
      </w:r>
    </w:p>
    <w:p w14:paraId="5ADD74B7">
      <w:pPr>
        <w:pStyle w:val="6"/>
        <w:numPr>
          <w:ilvl w:val="255"/>
          <w:numId w:val="0"/>
        </w:numPr>
        <w:shd w:val="clear" w:color="auto" w:fill="FFFFFF"/>
        <w:spacing w:before="0" w:beforeAutospacing="0" w:after="0" w:afterAutospacing="0" w:line="480" w:lineRule="exact"/>
        <w:ind w:firstLine="480" w:firstLineChars="200"/>
        <w:jc w:val="both"/>
        <w:rPr>
          <w:b/>
          <w:bCs/>
        </w:rPr>
      </w:pPr>
      <w:r>
        <w:rPr>
          <w:rFonts w:hint="eastAsia"/>
          <w:b/>
          <w:bCs/>
        </w:rPr>
        <w:t>为便于买受人及时收到相关的法律文书及通知，竞买人应在本次竞价活动前如实向京东拍卖平台提供准确的送达地址或主动与管理人联系提供送达地址。如需更改地址，买受人应及时与京东拍卖平台、管理人联系确认更改。因提供的送达地址不准确，或未及时告知变更地址，导致有关法律文书及通知无法送达的，视为已有效送达，由竞买人自行承担由此产生的法律后果。</w:t>
      </w:r>
    </w:p>
    <w:p w14:paraId="7CD372A2">
      <w:pPr>
        <w:pStyle w:val="6"/>
        <w:shd w:val="clear" w:color="auto" w:fill="FFFFFF"/>
        <w:spacing w:before="156" w:beforeLines="50" w:beforeAutospacing="0" w:after="0" w:afterAutospacing="0" w:line="480" w:lineRule="exact"/>
        <w:ind w:firstLine="480" w:firstLineChars="200"/>
        <w:jc w:val="both"/>
        <w:rPr>
          <w:b/>
          <w:bCs/>
          <w:lang w:eastAsia="zh-Hans"/>
        </w:rPr>
      </w:pPr>
      <w:r>
        <w:rPr>
          <w:rFonts w:hint="eastAsia"/>
          <w:b/>
          <w:bCs/>
          <w:lang w:eastAsia="zh-Hans"/>
        </w:rPr>
        <w:t>十、本公告其他未尽事宜，请向管理人咨询。</w:t>
      </w:r>
    </w:p>
    <w:p w14:paraId="56E1AF1B">
      <w:pPr>
        <w:pStyle w:val="6"/>
        <w:shd w:val="clear" w:color="auto" w:fill="FFFFFF"/>
        <w:spacing w:before="0" w:beforeAutospacing="0" w:after="0" w:afterAutospacing="0" w:line="480" w:lineRule="exact"/>
        <w:ind w:firstLine="480" w:firstLineChars="200"/>
        <w:jc w:val="both"/>
      </w:pPr>
      <w:r>
        <w:rPr>
          <w:rFonts w:hint="eastAsia"/>
        </w:rPr>
        <w:t>咨询电话：152-5926-4753（</w:t>
      </w:r>
      <w:r>
        <w:rPr>
          <w:rFonts w:hint="eastAsia"/>
          <w:lang w:val="en-US" w:eastAsia="zh-CN"/>
        </w:rPr>
        <w:t>小</w:t>
      </w:r>
      <w:r>
        <w:rPr>
          <w:rFonts w:hint="eastAsia"/>
        </w:rPr>
        <w:t>张）</w:t>
      </w:r>
    </w:p>
    <w:p w14:paraId="2B077B32">
      <w:pPr>
        <w:pStyle w:val="6"/>
        <w:shd w:val="clear" w:color="auto" w:fill="FFFFFF"/>
        <w:spacing w:before="0" w:beforeAutospacing="0" w:after="0" w:afterAutospacing="0" w:line="480" w:lineRule="exact"/>
        <w:ind w:firstLine="480" w:firstLineChars="200"/>
        <w:jc w:val="both"/>
        <w:rPr>
          <w:lang w:eastAsia="zh-Hans"/>
        </w:rPr>
      </w:pPr>
      <w:r>
        <w:rPr>
          <w:rFonts w:hint="eastAsia"/>
        </w:rPr>
        <w:t>联系地址：</w:t>
      </w:r>
      <w:r>
        <w:rPr>
          <w:rFonts w:hint="eastAsia"/>
          <w:lang w:eastAsia="zh-Hans"/>
        </w:rPr>
        <w:t>福建省厦门市思明区厦禾路666号海翼大厦A座16-18层 福建天衡联合律师事务所</w:t>
      </w:r>
    </w:p>
    <w:p w14:paraId="590E0594">
      <w:pPr>
        <w:pStyle w:val="6"/>
        <w:shd w:val="clear" w:color="auto" w:fill="FFFFFF"/>
        <w:spacing w:before="0" w:beforeAutospacing="0" w:after="0" w:afterAutospacing="0" w:line="360" w:lineRule="auto"/>
        <w:ind w:firstLine="480" w:firstLineChars="200"/>
        <w:jc w:val="both"/>
      </w:pPr>
      <w:r>
        <w:rPr>
          <w:rFonts w:hint="eastAsia"/>
        </w:rPr>
        <w:t>京东技术咨询电话：4006229586</w:t>
      </w:r>
    </w:p>
    <w:p w14:paraId="09F8E57F">
      <w:pPr>
        <w:pStyle w:val="6"/>
        <w:shd w:val="clear" w:color="auto" w:fill="FFFFFF"/>
        <w:spacing w:before="0" w:beforeAutospacing="0" w:after="0" w:afterAutospacing="0" w:line="360" w:lineRule="auto"/>
        <w:ind w:firstLine="480" w:firstLineChars="200"/>
        <w:jc w:val="both"/>
      </w:pPr>
      <w:r>
        <w:rPr>
          <w:rFonts w:hint="eastAsia"/>
        </w:rPr>
        <w:t>此公告将在“京东拍卖”上进行发布，请各竞买人自行关注，网址为:https://auction.jd.com/bankrupt.html。</w:t>
      </w:r>
    </w:p>
    <w:p w14:paraId="2C88EDBD">
      <w:pPr>
        <w:pStyle w:val="6"/>
        <w:shd w:val="clear" w:color="auto" w:fill="FFFFFF"/>
        <w:spacing w:before="0" w:beforeAutospacing="0" w:after="0" w:afterAutospacing="0" w:line="480" w:lineRule="exact"/>
        <w:ind w:firstLine="480" w:firstLineChars="200"/>
        <w:jc w:val="both"/>
      </w:pPr>
    </w:p>
    <w:p w14:paraId="1C1532C5">
      <w:pPr>
        <w:pStyle w:val="6"/>
        <w:shd w:val="clear" w:color="auto" w:fill="FFFFFF"/>
        <w:spacing w:before="156" w:beforeLines="50" w:beforeAutospacing="0" w:after="0" w:afterAutospacing="0" w:line="480" w:lineRule="exact"/>
        <w:jc w:val="right"/>
        <w:rPr>
          <w:b/>
          <w:bCs/>
          <w:lang w:eastAsia="zh-Hans"/>
        </w:rPr>
      </w:pPr>
      <w:r>
        <w:rPr>
          <w:rFonts w:hint="eastAsia"/>
          <w:lang w:eastAsia="zh-Hans"/>
        </w:rPr>
        <w:t xml:space="preserve">                   </w:t>
      </w:r>
      <w:r>
        <w:rPr>
          <w:rFonts w:hint="eastAsia"/>
          <w:b/>
          <w:bCs/>
        </w:rPr>
        <w:t>厦门兴基伟业房地产开发有限公司管理人</w:t>
      </w:r>
    </w:p>
    <w:p w14:paraId="74497180">
      <w:pPr>
        <w:pStyle w:val="6"/>
        <w:shd w:val="clear" w:color="auto" w:fill="FFFFFF"/>
        <w:spacing w:before="0" w:beforeAutospacing="0" w:after="0" w:afterAutospacing="0" w:line="480" w:lineRule="exact"/>
        <w:jc w:val="center"/>
        <w:rPr>
          <w:lang w:eastAsia="zh-Hans"/>
        </w:rPr>
      </w:pPr>
      <w:r>
        <w:rPr>
          <w:rFonts w:hint="eastAsia"/>
          <w:b/>
          <w:bCs/>
          <w:lang w:eastAsia="zh-Hans"/>
        </w:rPr>
        <w:t xml:space="preserve">                   </w:t>
      </w:r>
      <w:r>
        <w:rPr>
          <w:rFonts w:hint="eastAsia"/>
          <w:b/>
          <w:bCs/>
        </w:rPr>
        <w:t xml:space="preserve">            </w:t>
      </w:r>
      <w:r>
        <w:rPr>
          <w:rFonts w:hint="eastAsia"/>
          <w:b/>
          <w:bCs/>
          <w:lang w:eastAsia="zh-Hans"/>
        </w:rPr>
        <w:t xml:space="preserve"> 202</w:t>
      </w:r>
      <w:r>
        <w:rPr>
          <w:rFonts w:hint="eastAsia"/>
          <w:b/>
          <w:bCs/>
          <w:lang w:val="en-US" w:eastAsia="zh-CN"/>
        </w:rPr>
        <w:t>6</w:t>
      </w:r>
      <w:r>
        <w:rPr>
          <w:rFonts w:hint="eastAsia"/>
          <w:b/>
          <w:bCs/>
          <w:lang w:eastAsia="zh-Hans"/>
        </w:rPr>
        <w:t>年</w:t>
      </w:r>
      <w:r>
        <w:rPr>
          <w:rFonts w:hint="eastAsia"/>
          <w:b/>
          <w:bCs/>
          <w:lang w:val="en-US" w:eastAsia="zh-CN"/>
        </w:rPr>
        <w:t>7</w:t>
      </w:r>
      <w:r>
        <w:rPr>
          <w:rFonts w:hint="eastAsia"/>
          <w:b/>
          <w:bCs/>
          <w:lang w:eastAsia="zh-Hans"/>
        </w:rPr>
        <w:t>月</w:t>
      </w:r>
      <w:r>
        <w:rPr>
          <w:rFonts w:hint="eastAsia"/>
          <w:b/>
          <w:bCs/>
          <w:lang w:val="en-US" w:eastAsia="zh-CN"/>
        </w:rPr>
        <w:t>10</w:t>
      </w:r>
      <w:bookmarkStart w:id="0" w:name="_GoBack"/>
      <w:bookmarkEnd w:id="0"/>
      <w:r>
        <w:rPr>
          <w:rFonts w:hint="eastAsia"/>
          <w:b/>
          <w:bCs/>
          <w:lang w:eastAsia="zh-Hans"/>
        </w:rPr>
        <w:t>日</w:t>
      </w:r>
      <w:r>
        <w:rPr>
          <w:rFonts w:hint="eastAsia"/>
          <w:b/>
          <w:bCs/>
        </w:rPr>
        <w:t xml:space="preserve">                    </w:t>
      </w: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DejaVu Sans">
    <w:altName w:val="苹方-简"/>
    <w:panose1 w:val="020B06040202020202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0BF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51D0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5B51D0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185C"/>
    <w:multiLevelType w:val="singleLevel"/>
    <w:tmpl w:val="AFEE185C"/>
    <w:lvl w:ilvl="0" w:tentative="0">
      <w:start w:val="2"/>
      <w:numFmt w:val="chineseCounting"/>
      <w:suff w:val="nothing"/>
      <w:lvlText w:val="（%1）"/>
      <w:lvlJc w:val="left"/>
      <w:rPr>
        <w:rFonts w:hint="eastAsia"/>
      </w:rPr>
    </w:lvl>
  </w:abstractNum>
  <w:abstractNum w:abstractNumId="1">
    <w:nsid w:val="6125FE26"/>
    <w:multiLevelType w:val="singleLevel"/>
    <w:tmpl w:val="6125FE26"/>
    <w:lvl w:ilvl="0" w:tentative="0">
      <w:start w:val="1"/>
      <w:numFmt w:val="chineseCounting"/>
      <w:suff w:val="nothing"/>
      <w:lvlText w:val="%1、"/>
      <w:lvlJc w:val="left"/>
    </w:lvl>
  </w:abstractNum>
  <w:abstractNum w:abstractNumId="2">
    <w:nsid w:val="61260139"/>
    <w:multiLevelType w:val="singleLevel"/>
    <w:tmpl w:val="61260139"/>
    <w:lvl w:ilvl="0" w:tentative="0">
      <w:start w:val="3"/>
      <w:numFmt w:val="chineseCounting"/>
      <w:suff w:val="nothing"/>
      <w:lvlText w:val="%1、"/>
      <w:lvlJc w:val="left"/>
    </w:lvl>
  </w:abstractNum>
  <w:abstractNum w:abstractNumId="3">
    <w:nsid w:val="6162A9A6"/>
    <w:multiLevelType w:val="singleLevel"/>
    <w:tmpl w:val="6162A9A6"/>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2YTFjMjg3ODY4MGE0YWRiNTQ2NTU4ODAwNjJlN2YifQ=="/>
  </w:docVars>
  <w:rsids>
    <w:rsidRoot w:val="D7E76BDA"/>
    <w:rsid w:val="00066E9D"/>
    <w:rsid w:val="000E459D"/>
    <w:rsid w:val="00137CBA"/>
    <w:rsid w:val="00143E6E"/>
    <w:rsid w:val="00155C71"/>
    <w:rsid w:val="0015615A"/>
    <w:rsid w:val="00166FDB"/>
    <w:rsid w:val="0018266E"/>
    <w:rsid w:val="001E2594"/>
    <w:rsid w:val="002220A9"/>
    <w:rsid w:val="00284E7F"/>
    <w:rsid w:val="002D7A08"/>
    <w:rsid w:val="00355F9D"/>
    <w:rsid w:val="00366871"/>
    <w:rsid w:val="003B1E44"/>
    <w:rsid w:val="003C6D91"/>
    <w:rsid w:val="00456E2E"/>
    <w:rsid w:val="004F0537"/>
    <w:rsid w:val="00520131"/>
    <w:rsid w:val="0052142A"/>
    <w:rsid w:val="00526020"/>
    <w:rsid w:val="006053B9"/>
    <w:rsid w:val="00607351"/>
    <w:rsid w:val="00652376"/>
    <w:rsid w:val="006742CE"/>
    <w:rsid w:val="00693C51"/>
    <w:rsid w:val="00731243"/>
    <w:rsid w:val="00733D87"/>
    <w:rsid w:val="00743090"/>
    <w:rsid w:val="00786A68"/>
    <w:rsid w:val="007E1776"/>
    <w:rsid w:val="00836A71"/>
    <w:rsid w:val="00876D86"/>
    <w:rsid w:val="00893C16"/>
    <w:rsid w:val="008C53C7"/>
    <w:rsid w:val="00924FD3"/>
    <w:rsid w:val="009579D9"/>
    <w:rsid w:val="009714C8"/>
    <w:rsid w:val="009E15FC"/>
    <w:rsid w:val="009E426D"/>
    <w:rsid w:val="00A00205"/>
    <w:rsid w:val="00A14258"/>
    <w:rsid w:val="00A53A5E"/>
    <w:rsid w:val="00A7195B"/>
    <w:rsid w:val="00AB3E63"/>
    <w:rsid w:val="00B160F1"/>
    <w:rsid w:val="00B26C2E"/>
    <w:rsid w:val="00B90558"/>
    <w:rsid w:val="00BC21CE"/>
    <w:rsid w:val="00BC5A6C"/>
    <w:rsid w:val="00C2652A"/>
    <w:rsid w:val="00C72727"/>
    <w:rsid w:val="00C833B7"/>
    <w:rsid w:val="00C970B0"/>
    <w:rsid w:val="00D93B2D"/>
    <w:rsid w:val="00DF3AF7"/>
    <w:rsid w:val="00E62A34"/>
    <w:rsid w:val="00EC4434"/>
    <w:rsid w:val="00EF1AAC"/>
    <w:rsid w:val="00F20EB9"/>
    <w:rsid w:val="051E643B"/>
    <w:rsid w:val="08EB2CEE"/>
    <w:rsid w:val="0A1252C8"/>
    <w:rsid w:val="0F1FD510"/>
    <w:rsid w:val="147FC9DE"/>
    <w:rsid w:val="1BD30BF5"/>
    <w:rsid w:val="1DFF2DB6"/>
    <w:rsid w:val="1E3FBCAD"/>
    <w:rsid w:val="1EFB953A"/>
    <w:rsid w:val="1FFFE394"/>
    <w:rsid w:val="217A037A"/>
    <w:rsid w:val="260416B0"/>
    <w:rsid w:val="27EBA437"/>
    <w:rsid w:val="2DF77A38"/>
    <w:rsid w:val="2E9AEDA5"/>
    <w:rsid w:val="30B23021"/>
    <w:rsid w:val="31DA2D37"/>
    <w:rsid w:val="33D838CD"/>
    <w:rsid w:val="33FF934B"/>
    <w:rsid w:val="3656589A"/>
    <w:rsid w:val="373E2EBB"/>
    <w:rsid w:val="373FC7EB"/>
    <w:rsid w:val="375DBAE9"/>
    <w:rsid w:val="37FF0F28"/>
    <w:rsid w:val="39783359"/>
    <w:rsid w:val="3BF446EB"/>
    <w:rsid w:val="3DA5B3C0"/>
    <w:rsid w:val="3ED956A0"/>
    <w:rsid w:val="3F560173"/>
    <w:rsid w:val="3F9BEFAC"/>
    <w:rsid w:val="3FD75090"/>
    <w:rsid w:val="3FDC91E8"/>
    <w:rsid w:val="3FEFE2B6"/>
    <w:rsid w:val="422B01C8"/>
    <w:rsid w:val="47FB35C9"/>
    <w:rsid w:val="4BBF0A0E"/>
    <w:rsid w:val="4BFFCB49"/>
    <w:rsid w:val="4C9473BB"/>
    <w:rsid w:val="4F7723A1"/>
    <w:rsid w:val="52281BD5"/>
    <w:rsid w:val="552C0111"/>
    <w:rsid w:val="582A4430"/>
    <w:rsid w:val="58956574"/>
    <w:rsid w:val="5E6FAB8F"/>
    <w:rsid w:val="5F7F143E"/>
    <w:rsid w:val="610B533B"/>
    <w:rsid w:val="63DFF43E"/>
    <w:rsid w:val="64BE382A"/>
    <w:rsid w:val="67258CB6"/>
    <w:rsid w:val="67458C6F"/>
    <w:rsid w:val="67B6AAA0"/>
    <w:rsid w:val="67F314C7"/>
    <w:rsid w:val="6A7D23CE"/>
    <w:rsid w:val="6BFB83ED"/>
    <w:rsid w:val="6D5F580B"/>
    <w:rsid w:val="6E7B9C7A"/>
    <w:rsid w:val="6FBC27D9"/>
    <w:rsid w:val="6FFE096E"/>
    <w:rsid w:val="755CD439"/>
    <w:rsid w:val="75BEE139"/>
    <w:rsid w:val="75DEAED2"/>
    <w:rsid w:val="76672FC8"/>
    <w:rsid w:val="76881AA8"/>
    <w:rsid w:val="76F73798"/>
    <w:rsid w:val="776F27B3"/>
    <w:rsid w:val="77DBBD07"/>
    <w:rsid w:val="77FF1336"/>
    <w:rsid w:val="77FF5472"/>
    <w:rsid w:val="78E4508F"/>
    <w:rsid w:val="797DEA40"/>
    <w:rsid w:val="79AB68DB"/>
    <w:rsid w:val="79BE45A0"/>
    <w:rsid w:val="7A6780C2"/>
    <w:rsid w:val="7A6F8831"/>
    <w:rsid w:val="7AE8775D"/>
    <w:rsid w:val="7AF38EBD"/>
    <w:rsid w:val="7B9EB0A9"/>
    <w:rsid w:val="7BBEABE4"/>
    <w:rsid w:val="7BBF0930"/>
    <w:rsid w:val="7BDBAA11"/>
    <w:rsid w:val="7BF7958D"/>
    <w:rsid w:val="7BFDFF41"/>
    <w:rsid w:val="7BFF22CE"/>
    <w:rsid w:val="7DD7168B"/>
    <w:rsid w:val="7E1FA71B"/>
    <w:rsid w:val="7E6743BD"/>
    <w:rsid w:val="7EA7954E"/>
    <w:rsid w:val="7EAF4417"/>
    <w:rsid w:val="7EEF92EE"/>
    <w:rsid w:val="7EFFCA9E"/>
    <w:rsid w:val="7FA7E382"/>
    <w:rsid w:val="7FAF12F2"/>
    <w:rsid w:val="7FB33F5B"/>
    <w:rsid w:val="7FB45B49"/>
    <w:rsid w:val="7FB5DEB8"/>
    <w:rsid w:val="7FBB27DA"/>
    <w:rsid w:val="7FDB0D61"/>
    <w:rsid w:val="7FDEE7F4"/>
    <w:rsid w:val="7FE978E1"/>
    <w:rsid w:val="7FF3A0EA"/>
    <w:rsid w:val="7FF7DD3A"/>
    <w:rsid w:val="7FF7E49E"/>
    <w:rsid w:val="7FFB31BF"/>
    <w:rsid w:val="7FFD379C"/>
    <w:rsid w:val="91BF8C99"/>
    <w:rsid w:val="97FB3F3C"/>
    <w:rsid w:val="9FDFCA70"/>
    <w:rsid w:val="9FF19205"/>
    <w:rsid w:val="A77F7700"/>
    <w:rsid w:val="ABBEA1D5"/>
    <w:rsid w:val="ADF7AC2C"/>
    <w:rsid w:val="AEBF85E5"/>
    <w:rsid w:val="B57F2AAC"/>
    <w:rsid w:val="B585C3CC"/>
    <w:rsid w:val="B5FE910C"/>
    <w:rsid w:val="B9EF6C00"/>
    <w:rsid w:val="BC35B263"/>
    <w:rsid w:val="BCFDF526"/>
    <w:rsid w:val="BDFB263A"/>
    <w:rsid w:val="BFBB8328"/>
    <w:rsid w:val="BFBF023C"/>
    <w:rsid w:val="BFFDEAA8"/>
    <w:rsid w:val="C9FCD6EA"/>
    <w:rsid w:val="CEE5F206"/>
    <w:rsid w:val="CFFDEA9C"/>
    <w:rsid w:val="D4F93073"/>
    <w:rsid w:val="D7E76BDA"/>
    <w:rsid w:val="D947571A"/>
    <w:rsid w:val="D9777041"/>
    <w:rsid w:val="DBFDB0F5"/>
    <w:rsid w:val="DDCF34ED"/>
    <w:rsid w:val="DEBF3BB3"/>
    <w:rsid w:val="DEDFDA9E"/>
    <w:rsid w:val="DF7AE07B"/>
    <w:rsid w:val="DFED19B0"/>
    <w:rsid w:val="DFFD9688"/>
    <w:rsid w:val="E79E748C"/>
    <w:rsid w:val="E7AF6F67"/>
    <w:rsid w:val="E7FF86BD"/>
    <w:rsid w:val="E9E7E9D1"/>
    <w:rsid w:val="EAFFEBFA"/>
    <w:rsid w:val="EB5ADDC1"/>
    <w:rsid w:val="EBFF114D"/>
    <w:rsid w:val="EC6B16DE"/>
    <w:rsid w:val="ECDC0C33"/>
    <w:rsid w:val="EEBFE07B"/>
    <w:rsid w:val="EECD1A5F"/>
    <w:rsid w:val="EF7F9D38"/>
    <w:rsid w:val="F2FDE72A"/>
    <w:rsid w:val="F4760623"/>
    <w:rsid w:val="F4DFE589"/>
    <w:rsid w:val="F4F78382"/>
    <w:rsid w:val="F4FE2B7C"/>
    <w:rsid w:val="F5D600C5"/>
    <w:rsid w:val="F67A289D"/>
    <w:rsid w:val="F761043B"/>
    <w:rsid w:val="F77E7A65"/>
    <w:rsid w:val="F7DFB540"/>
    <w:rsid w:val="F7E7C085"/>
    <w:rsid w:val="F85AA150"/>
    <w:rsid w:val="F97A180B"/>
    <w:rsid w:val="F9BC4767"/>
    <w:rsid w:val="FB4F4AB0"/>
    <w:rsid w:val="FB6DBBE9"/>
    <w:rsid w:val="FBBBDCF7"/>
    <w:rsid w:val="FBD3A07F"/>
    <w:rsid w:val="FBF96EAB"/>
    <w:rsid w:val="FC3FBF46"/>
    <w:rsid w:val="FD77A459"/>
    <w:rsid w:val="FDBBE4F1"/>
    <w:rsid w:val="FDD73015"/>
    <w:rsid w:val="FDDD2E1B"/>
    <w:rsid w:val="FDF908FE"/>
    <w:rsid w:val="FE77023C"/>
    <w:rsid w:val="FE979775"/>
    <w:rsid w:val="FEDFD793"/>
    <w:rsid w:val="FEEBAC06"/>
    <w:rsid w:val="FF774BDE"/>
    <w:rsid w:val="FFA33B13"/>
    <w:rsid w:val="FFAF8028"/>
    <w:rsid w:val="FFDDB6EE"/>
    <w:rsid w:val="FFFD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列表段落1"/>
    <w:basedOn w:val="1"/>
    <w:qFormat/>
    <w:uiPriority w:val="34"/>
    <w:pPr>
      <w:ind w:firstLine="420" w:firstLineChars="200"/>
    </w:p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表段落2"/>
    <w:basedOn w:val="1"/>
    <w:qFormat/>
    <w:uiPriority w:val="99"/>
    <w:pPr>
      <w:ind w:firstLine="420" w:firstLineChars="200"/>
    </w:pPr>
  </w:style>
  <w:style w:type="paragraph" w:customStyle="1" w:styleId="16">
    <w:name w:val="列表段落3"/>
    <w:basedOn w:val="1"/>
    <w:qFormat/>
    <w:uiPriority w:val="99"/>
    <w:pPr>
      <w:ind w:firstLine="420" w:firstLineChars="200"/>
    </w:pPr>
  </w:style>
  <w:style w:type="paragraph" w:customStyle="1" w:styleId="17">
    <w:name w:val="doc-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批注框文本 字符"/>
    <w:basedOn w:val="10"/>
    <w:link w:val="3"/>
    <w:qFormat/>
    <w:uiPriority w:val="0"/>
    <w:rPr>
      <w:rFonts w:asciiTheme="minorHAnsi" w:hAnsiTheme="minorHAnsi" w:eastAsiaTheme="minorEastAsia" w:cstheme="minorBidi"/>
      <w:kern w:val="2"/>
      <w:sz w:val="18"/>
      <w:szCs w:val="18"/>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2507</Words>
  <Characters>2727</Characters>
  <Lines>20</Lines>
  <Paragraphs>5</Paragraphs>
  <TotalTime>41</TotalTime>
  <ScaleCrop>false</ScaleCrop>
  <LinksUpToDate>false</LinksUpToDate>
  <CharactersWithSpaces>2826</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2021-12-01T22:55:00Z</dcterms:created>
  <dc:creator>zxq</dc:creator>
  <cp:lastModifiedBy>zxq</cp:lastModifiedBy>
  <dcterms:modified xsi:type="dcterms:W3CDTF">2026-07-10T21:15:00Z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E3D1FED48A07FE3239E3A6626343DABD</vt:lpwstr>
  </property>
  <property fmtid="{D5CDD505-2E9C-101B-9397-08002B2CF9AE}" pid="4" name="KSOTemplateDocerSaveRecord">
    <vt:lpwstr>eyJoZGlkIjoiOTBmNjMxZTQxOTk3ZWE0OGM0NTRmMThiNjRlNmQyZDgiLCJ1c2VySWQiOiI0MjM2MTk0MzYifQ==</vt:lpwstr>
  </property>
</Properties>
</file>