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2B708">
      <w:pPr>
        <w:pStyle w:val="2"/>
        <w:ind w:left="105" w:right="105"/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</w:rPr>
        <w:t>贵阳第一建筑工程集团股份有限公司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  <w:lang w:val="en-US" w:eastAsia="zh-CN"/>
        </w:rPr>
        <w:t>破产清算案</w:t>
      </w:r>
    </w:p>
    <w:p w14:paraId="2BBB7EB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ind w:left="105" w:right="105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36"/>
          <w:szCs w:val="36"/>
        </w:rPr>
        <w:t>送达地址及银行账户确认书</w:t>
      </w:r>
      <w:bookmarkStart w:id="0" w:name="_GoBack"/>
      <w:bookmarkEnd w:id="0"/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7432"/>
      </w:tblGrid>
      <w:tr w14:paraId="03470409">
        <w:trPr>
          <w:cantSplit/>
          <w:trHeight w:val="584" w:hRule="atLeast"/>
          <w:jc w:val="center"/>
        </w:trPr>
        <w:tc>
          <w:tcPr>
            <w:tcW w:w="1567" w:type="dxa"/>
            <w:noWrap w:val="0"/>
            <w:vAlign w:val="center"/>
          </w:tcPr>
          <w:p w14:paraId="3394AE52">
            <w:pPr>
              <w:jc w:val="center"/>
              <w:rPr>
                <w:rFonts w:ascii="仿宋" w:hAnsi="仿宋" w:eastAsia="仿宋"/>
                <w:b/>
                <w:bCs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Cs w:val="32"/>
              </w:rPr>
              <w:t>债权人</w:t>
            </w:r>
          </w:p>
        </w:tc>
        <w:tc>
          <w:tcPr>
            <w:tcW w:w="7432" w:type="dxa"/>
            <w:noWrap w:val="0"/>
            <w:vAlign w:val="center"/>
          </w:tcPr>
          <w:p w14:paraId="7CCCC192">
            <w:pPr>
              <w:jc w:val="center"/>
              <w:rPr>
                <w:rFonts w:hAnsi="宋体" w:eastAsia="宋体"/>
              </w:rPr>
            </w:pPr>
          </w:p>
        </w:tc>
      </w:tr>
      <w:tr w14:paraId="2C007C29">
        <w:trPr>
          <w:trHeight w:val="4597" w:hRule="atLeast"/>
          <w:jc w:val="center"/>
        </w:trPr>
        <w:tc>
          <w:tcPr>
            <w:tcW w:w="1567" w:type="dxa"/>
            <w:noWrap w:val="0"/>
            <w:vAlign w:val="center"/>
          </w:tcPr>
          <w:p w14:paraId="4B64F0CE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Cs w:val="32"/>
              </w:rPr>
              <w:t>管理人</w:t>
            </w:r>
          </w:p>
          <w:p w14:paraId="2AAEC74C"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Cs w:val="32"/>
              </w:rPr>
              <w:t>告知事项</w:t>
            </w:r>
          </w:p>
        </w:tc>
        <w:tc>
          <w:tcPr>
            <w:tcW w:w="7432" w:type="dxa"/>
            <w:noWrap w:val="0"/>
            <w:vAlign w:val="center"/>
          </w:tcPr>
          <w:p w14:paraId="2F3BFFD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为便于债权人及时收到管理人、人民法院各项文书，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破产程序顺利进行，债权人应当如实提供确切的送达地址，确认的送达地址适用于各个破产程序，包括：破产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清算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、和解、重整，以及同期与破产事务相关的其他事项；管理人、人民法院按照债权人确认的地址或者方式送达后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相应文书即视为送达。</w:t>
            </w:r>
          </w:p>
          <w:p w14:paraId="58C99A9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为便于债权人受领财产分配，债权人应当如实向管理人提供真实、准确的银行账户，管理人支付至债权人提供的银行账户的款项，视为债权人受领；债权人提供的银行账户应当是以自身名义开立的账户，提供其他人名义开立的，应当向管理人书面说明理由。</w:t>
            </w:r>
          </w:p>
          <w:p w14:paraId="493C370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破产期间如果送达地址、银行账户有变更，应当及时告知管理人变更后的送达地址及银行账户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并提交书面申请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51B28A1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Ansi="宋体" w:eastAsia="宋体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如果提供的地址、银行账户不确切，或不及时告知变更后的地址或银行账户，使破产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程序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相关文书无法送达、未及时送达或不能受领分配的，债权人应承担由此引起的一切法律后果。</w:t>
            </w:r>
          </w:p>
        </w:tc>
      </w:tr>
      <w:tr w14:paraId="2581FE08">
        <w:trPr>
          <w:trHeight w:val="1013" w:hRule="atLeast"/>
          <w:jc w:val="center"/>
        </w:trPr>
        <w:tc>
          <w:tcPr>
            <w:tcW w:w="1567" w:type="dxa"/>
            <w:noWrap w:val="0"/>
            <w:vAlign w:val="center"/>
          </w:tcPr>
          <w:p w14:paraId="31CFC2D3">
            <w:pPr>
              <w:rPr>
                <w:rFonts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邮寄送达地址</w:t>
            </w:r>
          </w:p>
        </w:tc>
        <w:tc>
          <w:tcPr>
            <w:tcW w:w="7432" w:type="dxa"/>
            <w:noWrap w:val="0"/>
            <w:vAlign w:val="top"/>
          </w:tcPr>
          <w:p w14:paraId="03818293">
            <w:pPr>
              <w:spacing w:line="440" w:lineRule="exact"/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</w:rPr>
              <w:t>签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收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人：</w:t>
            </w:r>
            <w:r>
              <w:rPr>
                <w:rFonts w:ascii="仿宋" w:hAnsi="仿宋" w:eastAsia="仿宋" w:cs="仿宋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联</w:t>
            </w:r>
            <w:r>
              <w:rPr>
                <w:rFonts w:hint="eastAsia" w:ascii="仿宋" w:hAnsi="仿宋" w:eastAsia="仿宋" w:cs="仿宋"/>
              </w:rPr>
              <w:t>系电话：</w:t>
            </w:r>
            <w:r>
              <w:rPr>
                <w:rFonts w:ascii="仿宋" w:hAnsi="仿宋" w:eastAsia="仿宋" w:cs="仿宋"/>
                <w:u w:val="single"/>
              </w:rPr>
              <w:t xml:space="preserve">            </w:t>
            </w:r>
          </w:p>
          <w:p w14:paraId="1B288C36">
            <w:pPr>
              <w:spacing w:line="44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地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址：</w:t>
            </w:r>
            <w:r>
              <w:rPr>
                <w:rFonts w:ascii="仿宋" w:hAnsi="仿宋" w:eastAsia="仿宋" w:cs="仿宋"/>
                <w:u w:val="single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u w:val="single"/>
                <w:lang w:val="en-US" w:eastAsia="zh-CN"/>
              </w:rPr>
              <w:t xml:space="preserve">  </w:t>
            </w:r>
          </w:p>
        </w:tc>
      </w:tr>
      <w:tr w14:paraId="721F372C">
        <w:trPr>
          <w:trHeight w:val="1355" w:hRule="atLeast"/>
          <w:jc w:val="center"/>
        </w:trPr>
        <w:tc>
          <w:tcPr>
            <w:tcW w:w="1567" w:type="dxa"/>
            <w:noWrap w:val="0"/>
            <w:vAlign w:val="center"/>
          </w:tcPr>
          <w:p w14:paraId="2DFFD4E5">
            <w:pPr>
              <w:rPr>
                <w:rFonts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电子送达地址</w:t>
            </w:r>
          </w:p>
        </w:tc>
        <w:tc>
          <w:tcPr>
            <w:tcW w:w="7432" w:type="dxa"/>
            <w:noWrap w:val="0"/>
            <w:vAlign w:val="top"/>
          </w:tcPr>
          <w:p w14:paraId="4C895A44">
            <w:pPr>
              <w:spacing w:line="4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手机号码：</w:t>
            </w:r>
            <w:r>
              <w:rPr>
                <w:rFonts w:ascii="仿宋" w:hAnsi="仿宋" w:eastAsia="仿宋" w:cs="仿宋"/>
                <w:u w:val="single"/>
              </w:rPr>
              <w:t xml:space="preserve">                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□同意短信送达</w:t>
            </w:r>
          </w:p>
          <w:p w14:paraId="158A10C3">
            <w:pPr>
              <w:spacing w:line="4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电子邮箱：</w:t>
            </w:r>
            <w:r>
              <w:rPr>
                <w:rFonts w:ascii="仿宋" w:hAnsi="仿宋" w:eastAsia="仿宋" w:cs="仿宋"/>
                <w:u w:val="single"/>
              </w:rPr>
              <w:t xml:space="preserve">                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□同意邮件送达</w:t>
            </w:r>
          </w:p>
          <w:p w14:paraId="58226167">
            <w:pPr>
              <w:spacing w:line="4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微信号码：</w:t>
            </w:r>
            <w:r>
              <w:rPr>
                <w:rFonts w:ascii="仿宋" w:hAnsi="仿宋" w:eastAsia="仿宋" w:cs="仿宋"/>
                <w:u w:val="single"/>
              </w:rPr>
              <w:t xml:space="preserve">                 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□同意微信送达</w:t>
            </w:r>
          </w:p>
        </w:tc>
      </w:tr>
      <w:tr w14:paraId="7807A879">
        <w:trPr>
          <w:trHeight w:val="1355" w:hRule="atLeast"/>
          <w:jc w:val="center"/>
        </w:trPr>
        <w:tc>
          <w:tcPr>
            <w:tcW w:w="1567" w:type="dxa"/>
            <w:noWrap w:val="0"/>
            <w:vAlign w:val="center"/>
          </w:tcPr>
          <w:p w14:paraId="2FCF8B0B">
            <w:pPr>
              <w:jc w:val="center"/>
              <w:rPr>
                <w:rFonts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银行</w:t>
            </w:r>
          </w:p>
          <w:p w14:paraId="2A22FCCE">
            <w:pPr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账户</w:t>
            </w:r>
          </w:p>
        </w:tc>
        <w:tc>
          <w:tcPr>
            <w:tcW w:w="7432" w:type="dxa"/>
            <w:noWrap w:val="0"/>
            <w:vAlign w:val="top"/>
          </w:tcPr>
          <w:p w14:paraId="551E7C84">
            <w:pPr>
              <w:tabs>
                <w:tab w:val="left" w:pos="780"/>
              </w:tabs>
              <w:spacing w:line="440" w:lineRule="exact"/>
              <w:rPr>
                <w:rFonts w:ascii="仿宋" w:hAnsi="仿宋" w:eastAsia="仿宋" w:cs="仿宋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户</w:t>
            </w:r>
            <w:r>
              <w:rPr>
                <w:rFonts w:ascii="仿宋" w:hAnsi="仿宋" w:eastAsia="仿宋" w:cs="仿宋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32"/>
              </w:rPr>
              <w:t>名：</w:t>
            </w:r>
            <w:r>
              <w:rPr>
                <w:rFonts w:ascii="仿宋" w:hAnsi="仿宋" w:eastAsia="仿宋" w:cs="仿宋"/>
                <w:szCs w:val="32"/>
                <w:u w:val="single"/>
              </w:rPr>
              <w:t xml:space="preserve">                              </w:t>
            </w:r>
          </w:p>
          <w:p w14:paraId="22615AB8">
            <w:pPr>
              <w:tabs>
                <w:tab w:val="left" w:pos="780"/>
              </w:tabs>
              <w:spacing w:line="440" w:lineRule="exact"/>
              <w:rPr>
                <w:rFonts w:ascii="仿宋" w:hAnsi="仿宋" w:eastAsia="仿宋" w:cs="仿宋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账</w:t>
            </w:r>
            <w:r>
              <w:rPr>
                <w:rFonts w:ascii="仿宋" w:hAnsi="仿宋" w:eastAsia="仿宋" w:cs="仿宋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32"/>
              </w:rPr>
              <w:t>号：</w:t>
            </w:r>
            <w:r>
              <w:rPr>
                <w:rFonts w:ascii="仿宋" w:hAnsi="仿宋" w:eastAsia="仿宋" w:cs="仿宋"/>
                <w:szCs w:val="32"/>
                <w:u w:val="single"/>
              </w:rPr>
              <w:t xml:space="preserve">                              </w:t>
            </w:r>
          </w:p>
          <w:p w14:paraId="63DF66D9">
            <w:pPr>
              <w:tabs>
                <w:tab w:val="left" w:pos="780"/>
              </w:tabs>
              <w:spacing w:line="440" w:lineRule="exact"/>
              <w:rPr>
                <w:rFonts w:ascii="仿宋" w:hAnsi="仿宋" w:eastAsia="仿宋" w:cs="仿宋"/>
                <w:u w:val="single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开户行：</w:t>
            </w:r>
            <w:r>
              <w:rPr>
                <w:rFonts w:ascii="仿宋" w:hAnsi="仿宋" w:eastAsia="仿宋" w:cs="仿宋"/>
                <w:szCs w:val="32"/>
                <w:u w:val="single"/>
              </w:rPr>
              <w:t xml:space="preserve">                              </w:t>
            </w:r>
          </w:p>
        </w:tc>
      </w:tr>
      <w:tr w14:paraId="5D37D09B">
        <w:trPr>
          <w:trHeight w:val="2262" w:hRule="atLeast"/>
          <w:jc w:val="center"/>
        </w:trPr>
        <w:tc>
          <w:tcPr>
            <w:tcW w:w="1567" w:type="dxa"/>
            <w:noWrap w:val="0"/>
            <w:vAlign w:val="center"/>
          </w:tcPr>
          <w:p w14:paraId="55BB0F62">
            <w:pPr>
              <w:jc w:val="center"/>
              <w:rPr>
                <w:rFonts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债权人</w:t>
            </w:r>
          </w:p>
          <w:p w14:paraId="2610C1E2">
            <w:pPr>
              <w:jc w:val="center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的确认</w:t>
            </w:r>
          </w:p>
        </w:tc>
        <w:tc>
          <w:tcPr>
            <w:tcW w:w="7432" w:type="dxa"/>
            <w:noWrap w:val="0"/>
            <w:vAlign w:val="top"/>
          </w:tcPr>
          <w:p w14:paraId="1E042676">
            <w:pPr>
              <w:spacing w:line="440" w:lineRule="exact"/>
              <w:ind w:firstLine="437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我已经阅读并</w:t>
            </w: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>充分理解</w:t>
            </w:r>
            <w:r>
              <w:rPr>
                <w:rFonts w:hint="eastAsia" w:ascii="仿宋" w:hAnsi="仿宋" w:eastAsia="仿宋" w:cs="仿宋"/>
                <w:szCs w:val="32"/>
              </w:rPr>
              <w:t>管理人对债权人填写送达地址及银行账户确认书的告知事项，并接受告知事宜，并保证上述送达地址、银行账户是准确、有效的。</w:t>
            </w:r>
          </w:p>
          <w:p w14:paraId="67778C1B">
            <w:pPr>
              <w:spacing w:line="440" w:lineRule="exact"/>
              <w:ind w:firstLine="437"/>
              <w:rPr>
                <w:rFonts w:ascii="仿宋" w:hAnsi="仿宋" w:eastAsia="仿宋" w:cs="仿宋"/>
                <w:szCs w:val="32"/>
              </w:rPr>
            </w:pPr>
          </w:p>
          <w:p w14:paraId="3186A39A">
            <w:pPr>
              <w:spacing w:line="440" w:lineRule="exact"/>
              <w:ind w:firstLine="437"/>
              <w:rPr>
                <w:rFonts w:ascii="仿宋" w:hAnsi="仿宋" w:eastAsia="仿宋" w:cs="仿宋"/>
                <w:szCs w:val="32"/>
              </w:rPr>
            </w:pPr>
            <w:r>
              <w:rPr>
                <w:rFonts w:ascii="仿宋" w:hAnsi="仿宋" w:eastAsia="仿宋" w:cs="仿宋"/>
                <w:szCs w:val="32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Cs w:val="32"/>
              </w:rPr>
              <w:t>债权人：</w:t>
            </w:r>
          </w:p>
          <w:p w14:paraId="6E0431AD">
            <w:pPr>
              <w:spacing w:line="440" w:lineRule="exact"/>
              <w:ind w:firstLine="437"/>
              <w:jc w:val="right"/>
              <w:rPr>
                <w:rFonts w:ascii="仿宋" w:hAnsi="仿宋" w:eastAsia="仿宋" w:cs="仿宋"/>
                <w:szCs w:val="32"/>
              </w:rPr>
            </w:pPr>
            <w:r>
              <w:rPr>
                <w:rFonts w:ascii="仿宋" w:hAnsi="仿宋" w:eastAsia="仿宋" w:cs="仿宋"/>
                <w:szCs w:val="32"/>
              </w:rPr>
              <w:t xml:space="preserve">           年   </w:t>
            </w:r>
            <w:r>
              <w:rPr>
                <w:rFonts w:hint="eastAsia" w:ascii="仿宋" w:hAnsi="仿宋" w:eastAsia="仿宋" w:cs="仿宋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Cs w:val="32"/>
              </w:rPr>
              <w:t xml:space="preserve"> 月     日</w:t>
            </w:r>
          </w:p>
          <w:p w14:paraId="2C54D099">
            <w:pPr>
              <w:spacing w:line="440" w:lineRule="exact"/>
              <w:jc w:val="both"/>
              <w:rPr>
                <w:rFonts w:ascii="仿宋" w:hAnsi="仿宋" w:eastAsia="仿宋" w:cs="仿宋"/>
                <w:szCs w:val="32"/>
              </w:rPr>
            </w:pPr>
          </w:p>
        </w:tc>
      </w:tr>
    </w:tbl>
    <w:p w14:paraId="4F4AE15A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仿宋-简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76F83"/>
    <w:rsid w:val="3FE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120" w:line="520" w:lineRule="exact"/>
      <w:ind w:left="50" w:leftChars="50" w:right="50" w:rightChars="50"/>
      <w:jc w:val="center"/>
      <w:outlineLvl w:val="0"/>
    </w:pPr>
    <w:rPr>
      <w:rFonts w:ascii="仿宋" w:hAnsi="Calibri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2026-07-09T13:04:00Z</dcterms:created>
  <dc:creator>潘文浩</dc:creator>
  <cp:lastModifiedBy>潘文浩</cp:lastModifiedBy>
  <dcterms:modified xsi:type="dcterms:W3CDTF">2026-07-09T13:08:47Z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4C17AF615ADEE6E6C92B4F6AC5CA8D70_41</vt:lpwstr>
  </property>
</Properties>
</file>