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16A4D">
      <w:pPr>
        <w:pStyle w:val="5"/>
        <w:keepNext w:val="0"/>
        <w:keepLines w:val="0"/>
        <w:widowControl/>
        <w:suppressLineNumbers w:val="0"/>
        <w:spacing w:before="0" w:beforeAutospacing="0" w:after="0" w:afterAutospacing="0"/>
        <w:ind w:left="0" w:right="0" w:firstLine="0"/>
        <w:jc w:val="center"/>
        <w:rPr>
          <w:rFonts w:hint="default" w:ascii="黑体" w:hAnsi="黑体" w:eastAsia="黑体" w:cs="黑体"/>
          <w:b/>
          <w:bCs/>
          <w:color w:val="000000"/>
          <w:sz w:val="30"/>
          <w:szCs w:val="30"/>
          <w:highlight w:val="none"/>
          <w:lang w:val="en-US" w:eastAsia="zh-CN"/>
        </w:rPr>
      </w:pPr>
      <w:r>
        <w:rPr>
          <w:rFonts w:hint="eastAsia" w:ascii="黑体" w:hAnsi="黑体" w:eastAsia="黑体" w:cs="黑体"/>
          <w:b/>
          <w:bCs/>
          <w:color w:val="000000"/>
          <w:sz w:val="30"/>
          <w:szCs w:val="30"/>
          <w:highlight w:val="none"/>
          <w:lang w:val="en-US" w:eastAsia="zh-CN"/>
        </w:rPr>
        <w:t>标题：福建省恒盛鞋业有限公司未受领提存财产分配其他债权人</w:t>
      </w:r>
    </w:p>
    <w:p w14:paraId="78A87458">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textAlignment w:val="auto"/>
        <w:rPr>
          <w:rFonts w:hint="default" w:ascii="仿宋" w:hAnsi="仿宋" w:eastAsia="仿宋" w:cs="Times New Roman"/>
          <w:color w:val="000000" w:themeColor="text1"/>
          <w:spacing w:val="15"/>
          <w:sz w:val="28"/>
          <w:szCs w:val="28"/>
          <w:lang w:val="en-US" w:eastAsia="zh-CN"/>
          <w14:textFill>
            <w14:solidFill>
              <w14:schemeClr w14:val="tx1"/>
            </w14:solidFill>
          </w14:textFill>
        </w:rPr>
      </w:pPr>
      <w:r>
        <w:rPr>
          <w:rFonts w:hint="eastAsia" w:ascii="仿宋" w:hAnsi="仿宋" w:eastAsia="仿宋" w:cs="Times New Roman"/>
          <w:color w:val="000000" w:themeColor="text1"/>
          <w:spacing w:val="15"/>
          <w:sz w:val="28"/>
          <w:szCs w:val="28"/>
          <w:lang w:val="en-US" w:eastAsia="zh-CN"/>
          <w14:textFill>
            <w14:solidFill>
              <w14:schemeClr w14:val="tx1"/>
            </w14:solidFill>
          </w14:textFill>
        </w:rPr>
        <w:t>内容：</w:t>
      </w:r>
      <w:bookmarkStart w:id="0" w:name="_GoBack"/>
      <w:bookmarkEnd w:id="0"/>
    </w:p>
    <w:p w14:paraId="1A6B553F">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ind w:firstLine="620" w:firstLineChars="200"/>
        <w:textAlignment w:val="auto"/>
        <w:rPr>
          <w:rFonts w:hint="default" w:ascii="仿宋" w:hAnsi="仿宋" w:eastAsia="仿宋" w:cs="Times New Roman"/>
          <w:color w:val="000000" w:themeColor="text1"/>
          <w:spacing w:val="15"/>
          <w:sz w:val="28"/>
          <w:szCs w:val="28"/>
          <w:lang w:val="en-US" w:eastAsia="zh-CN"/>
          <w14:textFill>
            <w14:solidFill>
              <w14:schemeClr w14:val="tx1"/>
            </w14:solidFill>
          </w14:textFill>
        </w:rPr>
      </w:pPr>
      <w:r>
        <w:rPr>
          <w:rFonts w:hint="eastAsia" w:ascii="仿宋" w:hAnsi="仿宋" w:eastAsia="仿宋" w:cs="Times New Roman"/>
          <w:color w:val="000000" w:themeColor="text1"/>
          <w:spacing w:val="15"/>
          <w:sz w:val="28"/>
          <w:szCs w:val="28"/>
          <w:lang w:val="en-US" w:eastAsia="zh-CN"/>
          <w14:textFill>
            <w14:solidFill>
              <w14:schemeClr w14:val="tx1"/>
            </w14:solidFill>
          </w14:textFill>
        </w:rPr>
        <w:t>2025年2月5日霞浦县人民法院作出（2024）闽0921破4号之四民事裁定书裁定认可的《福建省恒盛鞋业有限公司破产财产分配方案》（简称《破产财产分配方案》），后管理人向法院书面报告了《关于福建省恒盛鞋业有限公司破产财产分配实施内容的报告》（简称《破产财产分配实施内容》）。管理人2025年2月11日在破产重整信息网公示《破产财产分配实施内容》后于2025年2月19日开始实施分配。</w:t>
      </w:r>
    </w:p>
    <w:p w14:paraId="073EA499">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ind w:firstLine="620" w:firstLineChars="200"/>
        <w:textAlignment w:val="auto"/>
        <w:rPr>
          <w:rFonts w:hint="default" w:ascii="仿宋" w:hAnsi="仿宋" w:eastAsia="仿宋" w:cs="Times New Roman"/>
          <w:color w:val="000000" w:themeColor="text1"/>
          <w:spacing w:val="15"/>
          <w:sz w:val="28"/>
          <w:szCs w:val="28"/>
          <w:lang w:val="en-US" w:eastAsia="zh-CN"/>
          <w14:textFill>
            <w14:solidFill>
              <w14:schemeClr w14:val="tx1"/>
            </w14:solidFill>
          </w14:textFill>
        </w:rPr>
      </w:pPr>
      <w:r>
        <w:rPr>
          <w:rFonts w:hint="eastAsia" w:ascii="仿宋" w:hAnsi="仿宋" w:eastAsia="仿宋" w:cs="Times New Roman"/>
          <w:color w:val="000000" w:themeColor="text1"/>
          <w:spacing w:val="15"/>
          <w:sz w:val="28"/>
          <w:szCs w:val="28"/>
          <w:lang w:val="en-US" w:eastAsia="zh-CN"/>
          <w14:textFill>
            <w14:solidFill>
              <w14:schemeClr w14:val="tx1"/>
            </w14:solidFill>
          </w14:textFill>
        </w:rPr>
        <w:t>管理人按照《破产财产分配方案》及《破产财产分配实施内容》进行分配后有部分职工债权因始终无法联系，管理人无法掌握其银行账户，管理人对未分配的清偿款进行提存并于2025年2月25日在全国企业破产重整案件信息网进行提存公告，提存后有部分职工债权人陆续受领了款项，截至本公告之日已提存仍未受领的清偿款合计185,110.00元。另外，管理人账户新增利息12272.85元，因此，已提存仍未受领的清偿款和账户利息合计197382.85元。</w:t>
      </w:r>
    </w:p>
    <w:p w14:paraId="4C714FF6">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ind w:firstLine="620" w:firstLineChars="200"/>
        <w:textAlignment w:val="auto"/>
        <w:rPr>
          <w:rFonts w:hint="eastAsia" w:ascii="仿宋" w:hAnsi="仿宋" w:eastAsia="仿宋" w:cs="Times New Roman"/>
          <w:color w:val="000000" w:themeColor="text1"/>
          <w:spacing w:val="15"/>
          <w:sz w:val="28"/>
          <w:szCs w:val="28"/>
          <w:lang w:val="zh-CN" w:eastAsia="zh-CN"/>
          <w14:textFill>
            <w14:solidFill>
              <w14:schemeClr w14:val="tx1"/>
            </w14:solidFill>
          </w14:textFill>
        </w:rPr>
      </w:pPr>
      <w:r>
        <w:rPr>
          <w:rFonts w:hint="eastAsia" w:ascii="仿宋" w:hAnsi="仿宋" w:eastAsia="仿宋" w:cs="Times New Roman"/>
          <w:color w:val="000000" w:themeColor="text1"/>
          <w:spacing w:val="15"/>
          <w:sz w:val="28"/>
          <w:szCs w:val="28"/>
          <w:lang w:val="en-US" w:eastAsia="zh-CN"/>
          <w14:textFill>
            <w14:solidFill>
              <w14:schemeClr w14:val="tx1"/>
            </w14:solidFill>
          </w14:textFill>
        </w:rPr>
        <w:t>依据《中华人民共和国企业破产法》第一百一十八条的规定：“债权人未受领的破产财产分配额，管理人应当提存。债权人自最后分配公告之日起满二个月仍不领取的，视为放弃受领分配的权利，管理人或者人民法院应当将提存的分配额分配给其他债权人。”，同时依据《破产财产分配方案》中关于“</w:t>
      </w:r>
      <w:r>
        <w:rPr>
          <w:rFonts w:hint="eastAsia" w:ascii="仿宋" w:hAnsi="仿宋" w:eastAsia="仿宋" w:cs="Times New Roman"/>
          <w:color w:val="000000" w:themeColor="text1"/>
          <w:spacing w:val="15"/>
          <w:sz w:val="28"/>
          <w:szCs w:val="28"/>
          <w:lang w:val="zh-CN" w:eastAsia="zh-CN"/>
          <w14:textFill>
            <w14:solidFill>
              <w14:schemeClr w14:val="tx1"/>
            </w14:solidFill>
          </w14:textFill>
        </w:rPr>
        <w:t>破产财产的提存”</w:t>
      </w:r>
      <w:r>
        <w:rPr>
          <w:rFonts w:hint="eastAsia" w:ascii="仿宋" w:hAnsi="仿宋" w:eastAsia="仿宋" w:cs="Times New Roman"/>
          <w:color w:val="000000" w:themeColor="text1"/>
          <w:spacing w:val="15"/>
          <w:sz w:val="28"/>
          <w:szCs w:val="28"/>
          <w:lang w:val="en-US" w:eastAsia="zh-CN"/>
          <w14:textFill>
            <w14:solidFill>
              <w14:schemeClr w14:val="tx1"/>
            </w14:solidFill>
          </w14:textFill>
        </w:rPr>
        <w:t>的规定：“3</w:t>
      </w:r>
      <w:r>
        <w:rPr>
          <w:rFonts w:hint="eastAsia" w:ascii="仿宋" w:hAnsi="仿宋" w:eastAsia="仿宋" w:cs="Times New Roman"/>
          <w:color w:val="000000" w:themeColor="text1"/>
          <w:spacing w:val="15"/>
          <w:sz w:val="28"/>
          <w:szCs w:val="28"/>
          <w:lang w:val="zh-CN" w:eastAsia="zh-CN"/>
          <w14:textFill>
            <w14:solidFill>
              <w14:schemeClr w14:val="tx1"/>
            </w14:solidFill>
          </w14:textFill>
        </w:rPr>
        <w:t>、如因参加分配的债权人未向管理人提交接受货币分配款的银行账户信息或提供的银行账户信息无法接受分配款，导致债权人未受领的破产财产分配额</w:t>
      </w:r>
      <w:r>
        <w:rPr>
          <w:rFonts w:hint="eastAsia" w:ascii="仿宋" w:hAnsi="仿宋" w:eastAsia="仿宋" w:cs="Times New Roman"/>
          <w:color w:val="000000" w:themeColor="text1"/>
          <w:spacing w:val="15"/>
          <w:sz w:val="28"/>
          <w:szCs w:val="28"/>
          <w:lang w:val="en-US" w:eastAsia="zh-CN"/>
          <w14:textFill>
            <w14:solidFill>
              <w14:schemeClr w14:val="tx1"/>
            </w14:solidFill>
          </w14:textFill>
        </w:rPr>
        <w:t>的</w:t>
      </w:r>
      <w:r>
        <w:rPr>
          <w:rFonts w:hint="eastAsia" w:ascii="仿宋" w:hAnsi="仿宋" w:eastAsia="仿宋" w:cs="Times New Roman"/>
          <w:color w:val="000000" w:themeColor="text1"/>
          <w:spacing w:val="15"/>
          <w:sz w:val="28"/>
          <w:szCs w:val="28"/>
          <w:lang w:val="zh-CN" w:eastAsia="zh-CN"/>
          <w14:textFill>
            <w14:solidFill>
              <w14:schemeClr w14:val="tx1"/>
            </w14:solidFill>
          </w14:textFill>
        </w:rPr>
        <w:t>，管理人依法进行提存。”、“5、除前款有特别规定的除外，对管理人提存的款项，债权人自最后分配公告之日起满二个月仍不领取的，视为放弃受领分配的权利，管理人将提存的分配额分配进行追加分配。”。</w:t>
      </w:r>
    </w:p>
    <w:p w14:paraId="10E0B9EC">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ind w:firstLine="620" w:firstLineChars="200"/>
        <w:textAlignment w:val="auto"/>
        <w:rPr>
          <w:rFonts w:hint="eastAsia" w:ascii="仿宋" w:hAnsi="仿宋" w:eastAsia="仿宋" w:cs="Times New Roman"/>
          <w:color w:val="000000" w:themeColor="text1"/>
          <w:spacing w:val="15"/>
          <w:sz w:val="28"/>
          <w:szCs w:val="28"/>
          <w:lang w:val="en-US" w:eastAsia="zh-CN"/>
          <w14:textFill>
            <w14:solidFill>
              <w14:schemeClr w14:val="tx1"/>
            </w14:solidFill>
          </w14:textFill>
        </w:rPr>
      </w:pPr>
      <w:r>
        <w:rPr>
          <w:rFonts w:hint="eastAsia" w:ascii="仿宋" w:hAnsi="仿宋" w:eastAsia="仿宋" w:cs="Times New Roman"/>
          <w:color w:val="000000" w:themeColor="text1"/>
          <w:spacing w:val="15"/>
          <w:sz w:val="28"/>
          <w:szCs w:val="28"/>
          <w:lang w:val="en-US" w:eastAsia="zh-CN"/>
          <w14:textFill>
            <w14:solidFill>
              <w14:schemeClr w14:val="tx1"/>
            </w14:solidFill>
          </w14:textFill>
        </w:rPr>
        <w:t>经管理人报告霞浦县人民法院，法院复函同意管理人《关于福建省恒盛鞋业有限公司未受领提存财产分配其他债权人的报告》。</w:t>
      </w:r>
    </w:p>
    <w:p w14:paraId="11589F18">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ind w:firstLine="622" w:firstLineChars="200"/>
        <w:textAlignment w:val="auto"/>
        <w:rPr>
          <w:rFonts w:hint="eastAsia" w:ascii="仿宋" w:hAnsi="仿宋" w:eastAsia="仿宋" w:cs="Times New Roman"/>
          <w:b/>
          <w:bCs/>
          <w:color w:val="000000" w:themeColor="text1"/>
          <w:spacing w:val="15"/>
          <w:sz w:val="28"/>
          <w:szCs w:val="28"/>
          <w:u w:val="single"/>
          <w:lang w:val="en-US" w:eastAsia="zh-CN"/>
          <w14:textFill>
            <w14:solidFill>
              <w14:schemeClr w14:val="tx1"/>
            </w14:solidFill>
          </w14:textFill>
        </w:rPr>
      </w:pPr>
      <w:r>
        <w:rPr>
          <w:rFonts w:hint="eastAsia" w:ascii="仿宋" w:hAnsi="仿宋" w:eastAsia="仿宋" w:cs="Times New Roman"/>
          <w:b/>
          <w:bCs/>
          <w:color w:val="000000" w:themeColor="text1"/>
          <w:spacing w:val="15"/>
          <w:sz w:val="28"/>
          <w:szCs w:val="28"/>
          <w:u w:val="single"/>
          <w:lang w:val="en-US" w:eastAsia="zh-CN"/>
          <w14:textFill>
            <w14:solidFill>
              <w14:schemeClr w14:val="tx1"/>
            </w14:solidFill>
          </w14:textFill>
        </w:rPr>
        <w:t>因此，管理人将已提存仍未受领的清偿款和账户利息合计197382.85元在预留管理人执行职务费用500元后，剩余196882.85元分配给其他债权人。</w:t>
      </w:r>
      <w:r>
        <w:rPr>
          <w:rFonts w:hint="eastAsia" w:ascii="仿宋" w:hAnsi="仿宋" w:eastAsia="仿宋" w:cs="Times New Roman"/>
          <w:color w:val="000000" w:themeColor="text1"/>
          <w:spacing w:val="15"/>
          <w:sz w:val="28"/>
          <w:szCs w:val="28"/>
          <w:lang w:val="en-US" w:eastAsia="zh-CN"/>
          <w14:textFill>
            <w14:solidFill>
              <w14:schemeClr w14:val="tx1"/>
            </w14:solidFill>
          </w14:textFill>
        </w:rPr>
        <w:t>因霞浦县人民法院(2024)闽0921破4号之三民事裁定书裁定确认债权人国家税务总局霞浦县税务局的税收债权为19,338,328.57元，管理人根据《财产分配方案》及《破产财产分配实施内容》已向国家税务总局霞浦县税务局分配的税收债权为16,227,999.82，清偿率为83.92%，即税收债权尚未清偿完毕，按照《财产分配方案》明确的分配顺序，</w:t>
      </w:r>
      <w:r>
        <w:rPr>
          <w:rFonts w:hint="eastAsia" w:ascii="仿宋" w:hAnsi="仿宋" w:eastAsia="仿宋" w:cs="Times New Roman"/>
          <w:b/>
          <w:bCs/>
          <w:color w:val="000000" w:themeColor="text1"/>
          <w:spacing w:val="15"/>
          <w:sz w:val="28"/>
          <w:szCs w:val="28"/>
          <w:u w:val="single"/>
          <w:lang w:val="en-US" w:eastAsia="zh-CN"/>
          <w14:textFill>
            <w14:solidFill>
              <w14:schemeClr w14:val="tx1"/>
            </w14:solidFill>
          </w14:textFill>
        </w:rPr>
        <w:t>本次分配用于清偿国家税务总局霞浦县税务局的税收债权，分配金额为196882.85元，清偿率为1</w:t>
      </w:r>
      <w:r>
        <w:rPr>
          <w:rFonts w:hint="eastAsia" w:ascii="仿宋" w:hAnsi="仿宋" w:eastAsia="仿宋" w:cs="Times New Roman"/>
          <w:b/>
          <w:bCs/>
          <w:color w:val="000000" w:themeColor="text1"/>
          <w:spacing w:val="15"/>
          <w:sz w:val="28"/>
          <w:szCs w:val="28"/>
          <w:u w:val="single"/>
          <w:lang w:val="zh-CN" w:eastAsia="zh-CN"/>
          <w14:textFill>
            <w14:solidFill>
              <w14:schemeClr w14:val="tx1"/>
            </w14:solidFill>
          </w14:textFill>
        </w:rPr>
        <w:t>.</w:t>
      </w:r>
      <w:r>
        <w:rPr>
          <w:rFonts w:hint="eastAsia" w:ascii="仿宋" w:hAnsi="仿宋" w:eastAsia="仿宋" w:cs="Times New Roman"/>
          <w:b/>
          <w:bCs/>
          <w:color w:val="000000" w:themeColor="text1"/>
          <w:spacing w:val="15"/>
          <w:sz w:val="28"/>
          <w:szCs w:val="28"/>
          <w:u w:val="single"/>
          <w:lang w:val="en-US" w:eastAsia="zh-CN"/>
          <w14:textFill>
            <w14:solidFill>
              <w14:schemeClr w14:val="tx1"/>
            </w14:solidFill>
          </w14:textFill>
        </w:rPr>
        <w:t>01</w:t>
      </w:r>
      <w:r>
        <w:rPr>
          <w:rFonts w:hint="eastAsia" w:ascii="仿宋" w:hAnsi="仿宋" w:eastAsia="仿宋" w:cs="Times New Roman"/>
          <w:b/>
          <w:bCs/>
          <w:color w:val="000000" w:themeColor="text1"/>
          <w:spacing w:val="15"/>
          <w:sz w:val="28"/>
          <w:szCs w:val="28"/>
          <w:u w:val="single"/>
          <w:lang w:val="zh-CN" w:eastAsia="zh-CN"/>
          <w14:textFill>
            <w14:solidFill>
              <w14:schemeClr w14:val="tx1"/>
            </w14:solidFill>
          </w14:textFill>
        </w:rPr>
        <w:t>%。</w:t>
      </w:r>
    </w:p>
    <w:p w14:paraId="5DD06B02">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textAlignment w:val="auto"/>
        <w:rPr>
          <w:rFonts w:hint="eastAsia" w:ascii="仿宋" w:hAnsi="仿宋" w:eastAsia="仿宋" w:cs="Times New Roman"/>
          <w:color w:val="000000" w:themeColor="text1"/>
          <w:spacing w:val="15"/>
          <w:sz w:val="28"/>
          <w:szCs w:val="28"/>
          <w:lang w:val="en-US" w:eastAsia="zh-CN"/>
          <w14:textFill>
            <w14:solidFill>
              <w14:schemeClr w14:val="tx1"/>
            </w14:solidFill>
          </w14:textFill>
        </w:rPr>
      </w:pPr>
    </w:p>
    <w:p w14:paraId="337A0373">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textAlignment w:val="auto"/>
        <w:rPr>
          <w:rFonts w:hint="eastAsia" w:ascii="仿宋" w:hAnsi="仿宋" w:eastAsia="仿宋" w:cs="Times New Roman"/>
          <w:color w:val="000000" w:themeColor="text1"/>
          <w:spacing w:val="15"/>
          <w:sz w:val="28"/>
          <w:szCs w:val="28"/>
          <w:lang w:val="en-US" w:eastAsia="zh-CN"/>
          <w14:textFill>
            <w14:solidFill>
              <w14:schemeClr w14:val="tx1"/>
            </w14:solidFill>
          </w14:textFill>
        </w:rPr>
      </w:pPr>
      <w:r>
        <w:rPr>
          <w:rFonts w:hint="eastAsia" w:ascii="仿宋" w:hAnsi="仿宋" w:eastAsia="仿宋" w:cs="Times New Roman"/>
          <w:color w:val="000000" w:themeColor="text1"/>
          <w:spacing w:val="15"/>
          <w:sz w:val="28"/>
          <w:szCs w:val="28"/>
          <w:lang w:val="en-US" w:eastAsia="zh-CN"/>
          <w14:textFill>
            <w14:solidFill>
              <w14:schemeClr w14:val="tx1"/>
            </w14:solidFill>
          </w14:textFill>
        </w:rPr>
        <w:t>附：</w:t>
      </w:r>
    </w:p>
    <w:p w14:paraId="5B991AB0">
      <w:pPr>
        <w:keepNext w:val="0"/>
        <w:keepLines w:val="0"/>
        <w:pageBreakBefore w:val="0"/>
        <w:widowControl w:val="0"/>
        <w:numPr>
          <w:ilvl w:val="0"/>
          <w:numId w:val="0"/>
        </w:numPr>
        <w:kinsoku/>
        <w:wordWrap/>
        <w:overflowPunct/>
        <w:topLinePunct w:val="0"/>
        <w:autoSpaceDE/>
        <w:autoSpaceDN/>
        <w:bidi w:val="0"/>
        <w:adjustRightInd/>
        <w:snapToGrid/>
        <w:spacing w:before="163" w:beforeLines="50" w:after="163" w:afterLines="50" w:line="380" w:lineRule="exact"/>
        <w:textAlignment w:val="auto"/>
        <w:rPr>
          <w:rFonts w:hint="eastAsia" w:ascii="仿宋" w:hAnsi="仿宋" w:eastAsia="仿宋" w:cs="Times New Roman"/>
          <w:b/>
          <w:bCs/>
          <w:color w:val="000000" w:themeColor="text1"/>
          <w:spacing w:val="15"/>
          <w:sz w:val="28"/>
          <w:szCs w:val="28"/>
          <w:u w:val="single"/>
          <w:lang w:val="en-US" w:eastAsia="zh-CN"/>
          <w14:textFill>
            <w14:solidFill>
              <w14:schemeClr w14:val="tx1"/>
            </w14:solidFill>
          </w14:textFill>
        </w:rPr>
      </w:pPr>
      <w:r>
        <w:rPr>
          <w:rFonts w:hint="eastAsia" w:ascii="仿宋" w:hAnsi="仿宋" w:eastAsia="仿宋" w:cs="Times New Roman"/>
          <w:b/>
          <w:bCs/>
          <w:color w:val="000000" w:themeColor="text1"/>
          <w:spacing w:val="15"/>
          <w:sz w:val="28"/>
          <w:szCs w:val="28"/>
          <w:u w:val="single"/>
          <w:lang w:val="en-US" w:eastAsia="zh-CN"/>
          <w14:textFill>
            <w14:solidFill>
              <w14:schemeClr w14:val="tx1"/>
            </w14:solidFill>
          </w14:textFill>
        </w:rPr>
        <w:t>一、已提存仍未受领清偿款的债权人清单为：</w:t>
      </w:r>
    </w:p>
    <w:tbl>
      <w:tblPr>
        <w:tblStyle w:val="6"/>
        <w:tblW w:w="7627"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4"/>
        <w:gridCol w:w="1102"/>
        <w:gridCol w:w="1572"/>
        <w:gridCol w:w="1187"/>
        <w:gridCol w:w="1176"/>
        <w:gridCol w:w="1656"/>
      </w:tblGrid>
      <w:tr w14:paraId="7FB02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5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原编号</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A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债权人</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A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提存未分配金额（元）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C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原编号</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B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债权人</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提存未分配金额（元）</w:t>
            </w:r>
          </w:p>
        </w:tc>
      </w:tr>
      <w:tr w14:paraId="22943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9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77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刘爱民</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4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￥12,750.00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C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A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陈仕光</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C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￥21,000.00</w:t>
            </w:r>
          </w:p>
        </w:tc>
      </w:tr>
      <w:tr w14:paraId="7F54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F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2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张文潘</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9C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F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余兴江</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A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￥28,500.00</w:t>
            </w:r>
          </w:p>
        </w:tc>
      </w:tr>
      <w:tr w14:paraId="00B4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1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4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林剑</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E5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7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A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胡美琴</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1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￥7,500.00</w:t>
            </w:r>
          </w:p>
        </w:tc>
      </w:tr>
      <w:tr w14:paraId="6899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1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3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李小敏</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0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2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04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陈清枝</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F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￥1,575.00</w:t>
            </w:r>
          </w:p>
        </w:tc>
      </w:tr>
      <w:tr w14:paraId="7FA4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E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5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陈秀萍</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0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F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F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孔贵</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D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w:t>
            </w:r>
          </w:p>
        </w:tc>
      </w:tr>
      <w:tr w14:paraId="400A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8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5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蔡奶全</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2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1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E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林新</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A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w:t>
            </w:r>
          </w:p>
        </w:tc>
      </w:tr>
      <w:tr w14:paraId="7F26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A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F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陈强</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8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E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1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雷胡容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4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￥3,600.00</w:t>
            </w:r>
          </w:p>
        </w:tc>
      </w:tr>
      <w:tr w14:paraId="262F0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9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6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陈隆杰</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D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6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5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陈春</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F9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￥670.00</w:t>
            </w:r>
          </w:p>
        </w:tc>
      </w:tr>
      <w:tr w14:paraId="494CF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0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F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赵克东</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2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1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2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林仕其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99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￥4,650.00</w:t>
            </w:r>
          </w:p>
        </w:tc>
      </w:tr>
      <w:tr w14:paraId="38B7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A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21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叶银金</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3F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9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6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兰景亮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D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￥2,500.00</w:t>
            </w:r>
          </w:p>
        </w:tc>
      </w:tr>
      <w:tr w14:paraId="3D51D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A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2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樊新林</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B9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8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B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彭梦</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CB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￥175.00</w:t>
            </w:r>
          </w:p>
        </w:tc>
      </w:tr>
      <w:tr w14:paraId="7B126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7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F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张文见</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3A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5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1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丁海浪</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3C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￥2,140.00</w:t>
            </w:r>
          </w:p>
        </w:tc>
      </w:tr>
      <w:tr w14:paraId="1FA8F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3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7D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张景仰</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3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A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7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曹光军</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99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￥2,850.00</w:t>
            </w:r>
          </w:p>
        </w:tc>
      </w:tr>
      <w:tr w14:paraId="5CEDE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F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5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林雪平</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4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E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7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严洪宝</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A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￥2,850.00</w:t>
            </w:r>
          </w:p>
        </w:tc>
      </w:tr>
      <w:tr w14:paraId="03F47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8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C0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俞绍城</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7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0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0E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曾德华</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0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￥2,165.00</w:t>
            </w:r>
          </w:p>
        </w:tc>
      </w:tr>
      <w:tr w14:paraId="232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0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3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张淑佳</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56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2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7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刀尚耿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B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￥580.00</w:t>
            </w:r>
          </w:p>
        </w:tc>
      </w:tr>
      <w:tr w14:paraId="50EA2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8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8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谢石团</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C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2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F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方老留</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1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￥415.00</w:t>
            </w:r>
          </w:p>
        </w:tc>
      </w:tr>
      <w:tr w14:paraId="1135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0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EA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刘文远</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E8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9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C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李老妹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3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￥615.00</w:t>
            </w:r>
          </w:p>
        </w:tc>
      </w:tr>
      <w:tr w14:paraId="5AC4D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63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7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朱银娇</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63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B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1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曹木二</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E6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￥540.00</w:t>
            </w:r>
          </w:p>
        </w:tc>
      </w:tr>
      <w:tr w14:paraId="28EDB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B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1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戴伟平</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9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A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A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肖金凤</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5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￥545.00</w:t>
            </w:r>
          </w:p>
        </w:tc>
      </w:tr>
      <w:tr w14:paraId="1E8E5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1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1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王倍军</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D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4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A1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黎氏金珠</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C7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￥275.00</w:t>
            </w:r>
          </w:p>
        </w:tc>
      </w:tr>
      <w:tr w14:paraId="060D7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E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0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张聿民</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A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F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C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颜敬银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12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￥640.00</w:t>
            </w:r>
          </w:p>
        </w:tc>
      </w:tr>
      <w:tr w14:paraId="0E5E6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F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F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兰神春</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F1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6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B0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杨么努</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9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￥5,345.00</w:t>
            </w:r>
          </w:p>
        </w:tc>
      </w:tr>
      <w:tr w14:paraId="0E413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7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9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傅振强</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F4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5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C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胡露平</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D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r>
      <w:tr w14:paraId="53971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6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96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陈建新</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4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CFA8">
            <w:pPr>
              <w:jc w:val="center"/>
              <w:rPr>
                <w:rFonts w:hint="eastAsia" w:ascii="宋体" w:hAnsi="宋体" w:eastAsia="宋体" w:cs="宋体"/>
                <w:i w:val="0"/>
                <w:iCs w:val="0"/>
                <w:color w:val="000000"/>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E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D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￥185,110.00</w:t>
            </w:r>
          </w:p>
        </w:tc>
      </w:tr>
    </w:tbl>
    <w:p w14:paraId="2363F2C8">
      <w:pPr>
        <w:spacing w:before="193" w:beforeLines="50" w:after="193" w:afterLines="50" w:line="400" w:lineRule="exact"/>
        <w:ind w:firstLine="3935" w:firstLineChars="1400"/>
        <w:rPr>
          <w:rFonts w:hint="eastAsia" w:ascii="仿宋" w:hAnsi="仿宋" w:eastAsia="仿宋" w:cs="Times New Roman Regular"/>
          <w:b/>
          <w:bCs/>
          <w:color w:val="000000" w:themeColor="text1"/>
          <w:sz w:val="28"/>
          <w:szCs w:val="28"/>
          <w14:textFill>
            <w14:solidFill>
              <w14:schemeClr w14:val="tx1"/>
            </w14:solidFill>
          </w14:textFill>
        </w:rPr>
      </w:pPr>
    </w:p>
    <w:p w14:paraId="27AE10AD">
      <w:pPr>
        <w:spacing w:before="193" w:beforeLines="50" w:after="193" w:afterLines="50" w:line="400" w:lineRule="exact"/>
        <w:ind w:firstLine="562" w:firstLineChars="200"/>
        <w:rPr>
          <w:rFonts w:hint="eastAsia" w:ascii="仿宋" w:hAnsi="仿宋" w:eastAsia="仿宋" w:cs="Times New Roman Regular"/>
          <w:b/>
          <w:bCs/>
          <w:color w:val="000000" w:themeColor="text1"/>
          <w:sz w:val="28"/>
          <w:szCs w:val="28"/>
          <w14:textFill>
            <w14:solidFill>
              <w14:schemeClr w14:val="tx1"/>
            </w14:solidFill>
          </w14:textFill>
        </w:rPr>
      </w:pPr>
    </w:p>
    <w:tbl>
      <w:tblPr>
        <w:tblStyle w:val="6"/>
        <w:tblpPr w:leftFromText="180" w:rightFromText="180" w:vertAnchor="text" w:horzAnchor="page" w:tblpX="994" w:tblpY="740"/>
        <w:tblOverlap w:val="never"/>
        <w:tblW w:w="10042" w:type="dxa"/>
        <w:tblInd w:w="0" w:type="dxa"/>
        <w:tblLayout w:type="fixed"/>
        <w:tblCellMar>
          <w:top w:w="0" w:type="dxa"/>
          <w:left w:w="108" w:type="dxa"/>
          <w:bottom w:w="0" w:type="dxa"/>
          <w:right w:w="108" w:type="dxa"/>
        </w:tblCellMar>
      </w:tblPr>
      <w:tblGrid>
        <w:gridCol w:w="652"/>
        <w:gridCol w:w="3282"/>
        <w:gridCol w:w="2250"/>
        <w:gridCol w:w="2005"/>
        <w:gridCol w:w="1853"/>
      </w:tblGrid>
      <w:tr w14:paraId="5C3C2FD0">
        <w:tblPrEx>
          <w:tblCellMar>
            <w:top w:w="0" w:type="dxa"/>
            <w:left w:w="108" w:type="dxa"/>
            <w:bottom w:w="0" w:type="dxa"/>
            <w:right w:w="108" w:type="dxa"/>
          </w:tblCellMar>
        </w:tblPrEx>
        <w:trPr>
          <w:trHeight w:val="287" w:hRule="atLeast"/>
        </w:trPr>
        <w:tc>
          <w:tcPr>
            <w:tcW w:w="10042" w:type="dxa"/>
            <w:gridSpan w:val="5"/>
            <w:tcBorders>
              <w:top w:val="single" w:color="000000" w:sz="4" w:space="0"/>
              <w:left w:val="single" w:color="000000" w:sz="4" w:space="0"/>
              <w:bottom w:val="single" w:color="000000" w:sz="4" w:space="0"/>
              <w:right w:val="single" w:color="000000" w:sz="4" w:space="0"/>
            </w:tcBorders>
            <w:noWrap/>
            <w:vAlign w:val="center"/>
          </w:tcPr>
          <w:p w14:paraId="16FB7B42">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税收债权</w:t>
            </w:r>
          </w:p>
        </w:tc>
      </w:tr>
      <w:tr w14:paraId="591DC101">
        <w:tblPrEx>
          <w:tblCellMar>
            <w:top w:w="0" w:type="dxa"/>
            <w:left w:w="108" w:type="dxa"/>
            <w:bottom w:w="0" w:type="dxa"/>
            <w:right w:w="108" w:type="dxa"/>
          </w:tblCellMar>
        </w:tblPrEx>
        <w:trPr>
          <w:trHeight w:val="287" w:hRule="atLeast"/>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B0E42C">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序号</w:t>
            </w:r>
          </w:p>
        </w:tc>
        <w:tc>
          <w:tcPr>
            <w:tcW w:w="3282" w:type="dxa"/>
            <w:tcBorders>
              <w:top w:val="single" w:color="000000" w:sz="4" w:space="0"/>
              <w:left w:val="single" w:color="000000" w:sz="4" w:space="0"/>
              <w:bottom w:val="single" w:color="000000" w:sz="4" w:space="0"/>
              <w:right w:val="single" w:color="000000" w:sz="4" w:space="0"/>
            </w:tcBorders>
            <w:noWrap/>
            <w:vAlign w:val="center"/>
          </w:tcPr>
          <w:p w14:paraId="04517664">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债权人</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7A961763">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税收债权金额（元）</w:t>
            </w:r>
          </w:p>
        </w:tc>
        <w:tc>
          <w:tcPr>
            <w:tcW w:w="2005" w:type="dxa"/>
            <w:tcBorders>
              <w:top w:val="single" w:color="000000" w:sz="4" w:space="0"/>
              <w:left w:val="single" w:color="000000" w:sz="4" w:space="0"/>
              <w:bottom w:val="single" w:color="000000" w:sz="4" w:space="0"/>
              <w:right w:val="single" w:color="000000" w:sz="4" w:space="0"/>
            </w:tcBorders>
            <w:noWrap/>
            <w:vAlign w:val="center"/>
          </w:tcPr>
          <w:p w14:paraId="6B6C66F8">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分配金额（元）</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2D297223">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清偿率（%）</w:t>
            </w:r>
          </w:p>
        </w:tc>
      </w:tr>
      <w:tr w14:paraId="636C107E">
        <w:tblPrEx>
          <w:tblCellMar>
            <w:top w:w="0" w:type="dxa"/>
            <w:left w:w="108" w:type="dxa"/>
            <w:bottom w:w="0" w:type="dxa"/>
            <w:right w:w="108" w:type="dxa"/>
          </w:tblCellMar>
        </w:tblPrEx>
        <w:trPr>
          <w:trHeight w:val="490" w:hRule="atLeast"/>
        </w:trPr>
        <w:tc>
          <w:tcPr>
            <w:tcW w:w="652" w:type="dxa"/>
            <w:tcBorders>
              <w:top w:val="single" w:color="000000" w:sz="4" w:space="0"/>
              <w:left w:val="single" w:color="000000" w:sz="4" w:space="0"/>
              <w:bottom w:val="single" w:color="000000" w:sz="4" w:space="0"/>
              <w:right w:val="single" w:color="000000" w:sz="4" w:space="0"/>
            </w:tcBorders>
            <w:noWrap/>
            <w:vAlign w:val="center"/>
          </w:tcPr>
          <w:p w14:paraId="354A688B">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1</w:t>
            </w:r>
          </w:p>
        </w:tc>
        <w:tc>
          <w:tcPr>
            <w:tcW w:w="3282" w:type="dxa"/>
            <w:tcBorders>
              <w:top w:val="single" w:color="000000" w:sz="4" w:space="0"/>
              <w:left w:val="single" w:color="000000" w:sz="4" w:space="0"/>
              <w:bottom w:val="single" w:color="000000" w:sz="4" w:space="0"/>
              <w:right w:val="single" w:color="000000" w:sz="4" w:space="0"/>
            </w:tcBorders>
            <w:vAlign w:val="center"/>
          </w:tcPr>
          <w:p w14:paraId="6014DA59">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国家税务总局霞浦县税务局</w:t>
            </w:r>
          </w:p>
        </w:tc>
        <w:tc>
          <w:tcPr>
            <w:tcW w:w="2250" w:type="dxa"/>
            <w:tcBorders>
              <w:top w:val="single" w:color="000000" w:sz="4" w:space="0"/>
              <w:left w:val="single" w:color="000000" w:sz="4" w:space="0"/>
              <w:bottom w:val="single" w:color="000000" w:sz="4" w:space="0"/>
              <w:right w:val="single" w:color="000000" w:sz="4" w:space="0"/>
            </w:tcBorders>
            <w:vAlign w:val="center"/>
          </w:tcPr>
          <w:p w14:paraId="27E95D79">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￥19,338,328.57</w:t>
            </w:r>
          </w:p>
        </w:tc>
        <w:tc>
          <w:tcPr>
            <w:tcW w:w="2005" w:type="dxa"/>
            <w:tcBorders>
              <w:top w:val="single" w:color="000000" w:sz="4" w:space="0"/>
              <w:left w:val="single" w:color="000000" w:sz="4" w:space="0"/>
              <w:bottom w:val="single" w:color="000000" w:sz="4" w:space="0"/>
              <w:right w:val="single" w:color="000000" w:sz="4" w:space="0"/>
            </w:tcBorders>
            <w:vAlign w:val="center"/>
          </w:tcPr>
          <w:p w14:paraId="5AD2734E">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4"/>
                <w:lang w:bidi="ar"/>
              </w:rPr>
              <w:t>￥</w:t>
            </w:r>
            <w:r>
              <w:rPr>
                <w:rFonts w:hint="eastAsia" w:ascii="宋体" w:hAnsi="宋体" w:eastAsia="宋体" w:cs="宋体"/>
                <w:color w:val="000000"/>
                <w:kern w:val="0"/>
                <w:sz w:val="24"/>
                <w:lang w:val="en-US" w:eastAsia="zh-CN" w:bidi="ar"/>
              </w:rPr>
              <w:t>196882.85</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0C1D2BDC">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val="en-US" w:eastAsia="zh-CN" w:bidi="ar"/>
              </w:rPr>
              <w:t>1</w:t>
            </w:r>
            <w:r>
              <w:rPr>
                <w:rFonts w:hint="eastAsia" w:ascii="宋体" w:hAnsi="宋体" w:eastAsia="宋体" w:cs="宋体"/>
                <w:color w:val="000000"/>
                <w:kern w:val="0"/>
                <w:sz w:val="24"/>
                <w:lang w:bidi="ar"/>
              </w:rPr>
              <w:t>.</w:t>
            </w:r>
            <w:r>
              <w:rPr>
                <w:rFonts w:hint="eastAsia" w:ascii="宋体" w:hAnsi="宋体" w:eastAsia="宋体" w:cs="宋体"/>
                <w:color w:val="000000"/>
                <w:kern w:val="0"/>
                <w:sz w:val="24"/>
                <w:lang w:val="en-US" w:eastAsia="zh-CN" w:bidi="ar"/>
              </w:rPr>
              <w:t>01</w:t>
            </w:r>
            <w:r>
              <w:rPr>
                <w:rFonts w:hint="eastAsia" w:ascii="宋体" w:hAnsi="宋体" w:eastAsia="宋体" w:cs="宋体"/>
                <w:color w:val="000000"/>
                <w:kern w:val="0"/>
                <w:sz w:val="24"/>
                <w:lang w:bidi="ar"/>
              </w:rPr>
              <w:t>%</w:t>
            </w:r>
          </w:p>
        </w:tc>
      </w:tr>
    </w:tbl>
    <w:p w14:paraId="4F3C4383">
      <w:pPr>
        <w:spacing w:before="193" w:beforeLines="50" w:after="193" w:afterLines="50" w:line="400" w:lineRule="exact"/>
        <w:rPr>
          <w:b/>
          <w:bCs/>
        </w:rPr>
      </w:pPr>
      <w:r>
        <w:rPr>
          <w:rFonts w:hint="eastAsia" w:ascii="仿宋_GB2312" w:eastAsia="仿宋_GB2312"/>
          <w:b/>
          <w:bCs/>
          <w:sz w:val="28"/>
          <w:szCs w:val="28"/>
          <w:lang w:val="en-US" w:eastAsia="zh-CN"/>
        </w:rPr>
        <w:t>二、</w:t>
      </w:r>
      <w:r>
        <w:rPr>
          <w:rFonts w:hint="eastAsia" w:ascii="仿宋_GB2312" w:eastAsia="仿宋_GB2312"/>
          <w:b/>
          <w:bCs/>
          <w:sz w:val="28"/>
          <w:szCs w:val="28"/>
        </w:rPr>
        <w:t>福建省恒盛鞋业有限公司</w:t>
      </w:r>
      <w:r>
        <w:rPr>
          <w:rFonts w:hint="eastAsia" w:ascii="仿宋_GB2312" w:eastAsia="仿宋_GB2312"/>
          <w:b/>
          <w:bCs/>
          <w:sz w:val="28"/>
          <w:szCs w:val="28"/>
          <w:lang w:val="en-US" w:eastAsia="zh-CN"/>
        </w:rPr>
        <w:t>未受领提存财产分配其他债权人</w:t>
      </w:r>
      <w:r>
        <w:rPr>
          <w:rFonts w:hint="eastAsia" w:ascii="仿宋_GB2312" w:eastAsia="仿宋_GB2312"/>
          <w:b/>
          <w:bCs/>
          <w:sz w:val="28"/>
          <w:szCs w:val="28"/>
        </w:rPr>
        <w:t>明细表</w:t>
      </w:r>
    </w:p>
    <w:p w14:paraId="052F7004">
      <w:pPr>
        <w:numPr>
          <w:ilvl w:val="0"/>
          <w:numId w:val="0"/>
        </w:numPr>
        <w:spacing w:before="163" w:beforeLines="50" w:after="163" w:afterLines="50" w:line="400" w:lineRule="exact"/>
        <w:rPr>
          <w:rFonts w:hint="default" w:ascii="仿宋" w:hAnsi="仿宋" w:eastAsia="仿宋" w:cs="Times New Roman"/>
          <w:color w:val="000000" w:themeColor="text1"/>
          <w:spacing w:val="15"/>
          <w:sz w:val="28"/>
          <w:szCs w:val="28"/>
          <w:lang w:val="en-US" w:eastAsia="zh-CN"/>
          <w14:textFill>
            <w14:solidFill>
              <w14:schemeClr w14:val="tx1"/>
            </w14:solidFill>
          </w14:textFill>
        </w:rPr>
      </w:pPr>
    </w:p>
    <w:p w14:paraId="795FA0A4">
      <w:pPr>
        <w:spacing w:before="193" w:beforeLines="50" w:after="193" w:afterLines="50" w:line="400" w:lineRule="exact"/>
        <w:ind w:firstLine="3935" w:firstLineChars="1400"/>
        <w:rPr>
          <w:rFonts w:hint="eastAsia" w:ascii="仿宋" w:hAnsi="仿宋" w:eastAsia="仿宋" w:cs="Times New Roman Regular"/>
          <w:b/>
          <w:bCs/>
          <w:color w:val="000000" w:themeColor="text1"/>
          <w:sz w:val="28"/>
          <w:szCs w:val="28"/>
          <w14:textFill>
            <w14:solidFill>
              <w14:schemeClr w14:val="tx1"/>
            </w14:solidFill>
          </w14:textFill>
        </w:rPr>
      </w:pPr>
    </w:p>
    <w:p w14:paraId="59328BEC">
      <w:pPr>
        <w:spacing w:before="193" w:beforeLines="50" w:after="193" w:afterLines="50" w:line="400" w:lineRule="exact"/>
        <w:ind w:firstLine="3935" w:firstLineChars="1400"/>
        <w:rPr>
          <w:rFonts w:hint="eastAsia" w:ascii="仿宋" w:hAnsi="仿宋" w:eastAsia="仿宋" w:cs="Times New Roman Regular"/>
          <w:b/>
          <w:bCs/>
          <w:color w:val="000000" w:themeColor="text1"/>
          <w:sz w:val="28"/>
          <w:szCs w:val="28"/>
          <w14:textFill>
            <w14:solidFill>
              <w14:schemeClr w14:val="tx1"/>
            </w14:solidFill>
          </w14:textFill>
        </w:rPr>
      </w:pPr>
    </w:p>
    <w:p w14:paraId="40A1A790">
      <w:pPr>
        <w:spacing w:before="193" w:beforeLines="50" w:after="193" w:afterLines="50" w:line="400" w:lineRule="exact"/>
        <w:ind w:firstLine="3935" w:firstLineChars="1400"/>
        <w:rPr>
          <w:rFonts w:hint="eastAsia" w:ascii="仿宋" w:hAnsi="仿宋" w:eastAsia="仿宋" w:cs="Times New Roman Regular"/>
          <w:b/>
          <w:bCs/>
          <w:color w:val="000000" w:themeColor="text1"/>
          <w:sz w:val="28"/>
          <w:szCs w:val="28"/>
          <w14:textFill>
            <w14:solidFill>
              <w14:schemeClr w14:val="tx1"/>
            </w14:solidFill>
          </w14:textFill>
        </w:rPr>
      </w:pPr>
      <w:r>
        <w:rPr>
          <w:rFonts w:hint="eastAsia" w:ascii="仿宋" w:hAnsi="仿宋" w:eastAsia="仿宋" w:cs="Times New Roman Regular"/>
          <w:b/>
          <w:bCs/>
          <w:color w:val="000000" w:themeColor="text1"/>
          <w:sz w:val="28"/>
          <w:szCs w:val="28"/>
          <w14:textFill>
            <w14:solidFill>
              <w14:schemeClr w14:val="tx1"/>
            </w14:solidFill>
          </w14:textFill>
        </w:rPr>
        <w:t>福建省恒盛鞋业有限公司管理人</w:t>
      </w:r>
    </w:p>
    <w:p w14:paraId="556331DF">
      <w:pPr>
        <w:spacing w:before="193" w:beforeLines="50" w:after="193" w:afterLines="50" w:line="400" w:lineRule="exact"/>
        <w:ind w:firstLine="562" w:firstLineChars="200"/>
        <w:rPr>
          <w:rFonts w:hint="eastAsia" w:ascii="仿宋" w:hAnsi="仿宋" w:eastAsia="仿宋" w:cs="Times New Roman Regular"/>
          <w:b/>
          <w:bCs/>
          <w:color w:val="000000" w:themeColor="text1"/>
          <w:sz w:val="28"/>
          <w:szCs w:val="28"/>
          <w14:textFill>
            <w14:solidFill>
              <w14:schemeClr w14:val="tx1"/>
            </w14:solidFill>
          </w14:textFill>
        </w:rPr>
      </w:pPr>
      <w:r>
        <w:rPr>
          <w:rFonts w:hint="eastAsia" w:ascii="仿宋" w:hAnsi="仿宋" w:eastAsia="仿宋" w:cs="Times New Roman Regular"/>
          <w:b/>
          <w:bCs/>
          <w:color w:val="000000" w:themeColor="text1"/>
          <w:sz w:val="28"/>
          <w:szCs w:val="28"/>
          <w14:textFill>
            <w14:solidFill>
              <w14:schemeClr w14:val="tx1"/>
            </w14:solidFill>
          </w14:textFill>
        </w:rPr>
        <w:t xml:space="preserve">                            </w:t>
      </w:r>
      <w:r>
        <w:rPr>
          <w:rFonts w:hint="eastAsia" w:ascii="仿宋" w:hAnsi="仿宋" w:eastAsia="仿宋" w:cs="Times New Roman Regular"/>
          <w:b/>
          <w:bCs/>
          <w:color w:val="000000" w:themeColor="text1"/>
          <w:sz w:val="28"/>
          <w:szCs w:val="28"/>
          <w:lang w:val="en-US" w:eastAsia="zh-CN"/>
          <w14:textFill>
            <w14:solidFill>
              <w14:schemeClr w14:val="tx1"/>
            </w14:solidFill>
          </w14:textFill>
        </w:rPr>
        <w:t xml:space="preserve">   2026</w:t>
      </w:r>
      <w:r>
        <w:rPr>
          <w:rFonts w:hint="eastAsia" w:ascii="仿宋" w:hAnsi="仿宋" w:eastAsia="仿宋" w:cs="Times New Roman Regular"/>
          <w:b/>
          <w:bCs/>
          <w:color w:val="000000" w:themeColor="text1"/>
          <w:sz w:val="28"/>
          <w:szCs w:val="28"/>
          <w14:textFill>
            <w14:solidFill>
              <w14:schemeClr w14:val="tx1"/>
            </w14:solidFill>
          </w14:textFill>
        </w:rPr>
        <w:t>年</w:t>
      </w:r>
      <w:r>
        <w:rPr>
          <w:rFonts w:hint="eastAsia" w:ascii="仿宋" w:hAnsi="仿宋" w:eastAsia="仿宋" w:cs="Times New Roman Regular"/>
          <w:b/>
          <w:bCs/>
          <w:color w:val="000000" w:themeColor="text1"/>
          <w:sz w:val="28"/>
          <w:szCs w:val="28"/>
          <w:lang w:val="en-US" w:eastAsia="zh-CN"/>
          <w14:textFill>
            <w14:solidFill>
              <w14:schemeClr w14:val="tx1"/>
            </w14:solidFill>
          </w14:textFill>
        </w:rPr>
        <w:t>7</w:t>
      </w:r>
      <w:r>
        <w:rPr>
          <w:rFonts w:hint="eastAsia" w:ascii="仿宋" w:hAnsi="仿宋" w:eastAsia="仿宋" w:cs="Times New Roman Regular"/>
          <w:b/>
          <w:bCs/>
          <w:color w:val="000000" w:themeColor="text1"/>
          <w:sz w:val="28"/>
          <w:szCs w:val="28"/>
          <w14:textFill>
            <w14:solidFill>
              <w14:schemeClr w14:val="tx1"/>
            </w14:solidFill>
          </w14:textFill>
        </w:rPr>
        <w:t>月</w:t>
      </w:r>
      <w:r>
        <w:rPr>
          <w:rFonts w:hint="eastAsia" w:ascii="仿宋" w:hAnsi="仿宋" w:eastAsia="仿宋" w:cs="Times New Roman Regular"/>
          <w:b/>
          <w:bCs/>
          <w:color w:val="000000" w:themeColor="text1"/>
          <w:sz w:val="28"/>
          <w:szCs w:val="28"/>
          <w:lang w:val="en-US" w:eastAsia="zh-CN"/>
          <w14:textFill>
            <w14:solidFill>
              <w14:schemeClr w14:val="tx1"/>
            </w14:solidFill>
          </w14:textFill>
        </w:rPr>
        <w:t>27</w:t>
      </w:r>
      <w:r>
        <w:rPr>
          <w:rFonts w:hint="eastAsia" w:ascii="仿宋" w:hAnsi="仿宋" w:eastAsia="仿宋" w:cs="Times New Roman Regular"/>
          <w:b/>
          <w:bCs/>
          <w:color w:val="000000" w:themeColor="text1"/>
          <w:sz w:val="28"/>
          <w:szCs w:val="28"/>
          <w14:textFill>
            <w14:solidFill>
              <w14:schemeClr w14:val="tx1"/>
            </w14:solidFill>
          </w14:textFill>
        </w:rPr>
        <w:t>日</w:t>
      </w:r>
    </w:p>
    <w:p w14:paraId="00F34431">
      <w:pP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0397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2117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32117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A401D"/>
    <w:rsid w:val="050945CA"/>
    <w:rsid w:val="0BD46E31"/>
    <w:rsid w:val="177A29CB"/>
    <w:rsid w:val="1BDF57BA"/>
    <w:rsid w:val="3BAD4943"/>
    <w:rsid w:val="453B7AD0"/>
    <w:rsid w:val="45E10FEF"/>
    <w:rsid w:val="487772A5"/>
    <w:rsid w:val="48A468B6"/>
    <w:rsid w:val="4B523FD5"/>
    <w:rsid w:val="4C2E4E37"/>
    <w:rsid w:val="6A6F1D40"/>
    <w:rsid w:val="70AC177C"/>
    <w:rsid w:val="75311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1432</Words>
  <Characters>1994</Characters>
  <Lines>0</Lines>
  <Paragraphs>0</Paragraphs>
  <TotalTime>20</TotalTime>
  <ScaleCrop>false</ScaleCrop>
  <LinksUpToDate>false</LinksUpToDate>
  <CharactersWithSpaces>2025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2025-04-11T09:44:00Z</dcterms:created>
  <dc:creator>1</dc:creator>
  <cp:lastModifiedBy>郭秀刚律师团队</cp:lastModifiedBy>
  <dcterms:modified xsi:type="dcterms:W3CDTF">2026-08-03T07:38:10Z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eyJoZGlkIjoiMzEwNTM5NzYwMDRjMzkwZTVkZjY2ODkwMGIxNGU0OTUiLCJ1c2VySWQiOiI5OTU5MjM3MjMifQ==</vt:lpwstr>
  </property>
  <property fmtid="{D5CDD505-2E9C-101B-9397-08002B2CF9AE}" pid="4" name="ICV">
    <vt:lpwstr>4569078482D0462EB350D08A39C00DAD_13</vt:lpwstr>
  </property>
</Properties>
</file>