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9E5FF">
      <w:pPr>
        <w:pBdr>
          <w:bottom w:val="single" w:color="DEE0E3" w:sz="2" w:space="0"/>
          <w:between w:val="single" w:color="DEE0E3" w:sz="2" w:space="0"/>
        </w:pBdr>
        <w:spacing w:before="120" w:after="120" w:line="288" w:lineRule="auto"/>
        <w:ind w:left="0"/>
        <w:rPr>
          <w:rFonts w:hint="eastAsia" w:ascii="仿宋" w:hAnsi="仿宋" w:eastAsia="仿宋" w:cs="仿宋"/>
          <w:sz w:val="30"/>
          <w:szCs w:val="30"/>
        </w:rPr>
      </w:pPr>
    </w:p>
    <w:p w14:paraId="71AA927C">
      <w:pPr>
        <w:spacing w:before="380" w:after="140" w:line="288" w:lineRule="auto"/>
        <w:ind w:left="0"/>
        <w:jc w:val="center"/>
        <w:outlineLvl w:val="0"/>
        <w:rPr>
          <w:rFonts w:hint="eastAsia" w:ascii="仿宋" w:hAnsi="仿宋" w:eastAsia="仿宋" w:cs="仿宋"/>
          <w:b/>
          <w:sz w:val="44"/>
          <w:szCs w:val="44"/>
        </w:rPr>
      </w:pPr>
      <w:bookmarkStart w:id="0" w:name="heading_1"/>
      <w:r>
        <w:rPr>
          <w:rFonts w:hint="eastAsia" w:ascii="仿宋" w:hAnsi="仿宋" w:eastAsia="仿宋" w:cs="仿宋"/>
          <w:b/>
          <w:sz w:val="44"/>
          <w:szCs w:val="44"/>
        </w:rPr>
        <w:t>贵州汉唐佳华酒店管理有限公司管理人</w:t>
      </w:r>
    </w:p>
    <w:bookmarkEnd w:id="0"/>
    <w:p w14:paraId="144994D7">
      <w:pPr>
        <w:spacing w:before="120" w:after="120" w:line="288" w:lineRule="auto"/>
        <w:ind w:left="0"/>
        <w:jc w:val="center"/>
        <w:rPr>
          <w:rFonts w:hint="eastAsia" w:ascii="仿宋" w:hAnsi="仿宋" w:eastAsia="仿宋" w:cs="仿宋"/>
          <w:b/>
          <w:sz w:val="44"/>
          <w:szCs w:val="44"/>
        </w:rPr>
      </w:pPr>
      <w:r>
        <w:rPr>
          <w:rFonts w:hint="eastAsia" w:ascii="仿宋" w:hAnsi="仿宋" w:eastAsia="仿宋" w:cs="仿宋"/>
          <w:b/>
          <w:sz w:val="44"/>
          <w:szCs w:val="44"/>
        </w:rPr>
        <w:t>可移动实物资产拍卖公告</w:t>
      </w:r>
    </w:p>
    <w:p w14:paraId="06F4DDB2">
      <w:pPr>
        <w:spacing w:before="120" w:after="120" w:line="288" w:lineRule="auto"/>
        <w:ind w:left="0" w:firstLine="3300" w:firstLineChars="1100"/>
        <w:jc w:val="left"/>
        <w:rPr>
          <w:rFonts w:hint="eastAsia" w:ascii="仿宋" w:hAnsi="仿宋" w:eastAsia="仿宋" w:cs="仿宋"/>
          <w:sz w:val="30"/>
          <w:szCs w:val="30"/>
        </w:rPr>
      </w:pPr>
      <w:r>
        <w:rPr>
          <w:rFonts w:hint="eastAsia" w:ascii="仿宋" w:hAnsi="仿宋" w:eastAsia="仿宋" w:cs="仿宋"/>
          <w:sz w:val="30"/>
          <w:szCs w:val="30"/>
        </w:rPr>
        <w:t>（案号：(2024)黔0103破34号）</w:t>
      </w:r>
    </w:p>
    <w:p w14:paraId="24059016">
      <w:pPr>
        <w:spacing w:before="320" w:after="120" w:line="288" w:lineRule="auto"/>
        <w:ind w:left="0" w:firstLine="602" w:firstLineChars="200"/>
        <w:jc w:val="left"/>
        <w:outlineLvl w:val="1"/>
        <w:rPr>
          <w:rFonts w:hint="eastAsia" w:ascii="仿宋" w:hAnsi="仿宋" w:eastAsia="仿宋" w:cs="仿宋"/>
          <w:sz w:val="30"/>
          <w:szCs w:val="30"/>
        </w:rPr>
      </w:pPr>
      <w:bookmarkStart w:id="1" w:name="heading_2"/>
      <w:r>
        <w:rPr>
          <w:rFonts w:hint="eastAsia" w:ascii="仿宋" w:hAnsi="仿宋" w:eastAsia="仿宋" w:cs="仿宋"/>
          <w:b/>
          <w:sz w:val="30"/>
          <w:szCs w:val="30"/>
        </w:rPr>
        <w:t>一、拍卖依据</w:t>
      </w:r>
      <w:bookmarkEnd w:id="1"/>
    </w:p>
    <w:p w14:paraId="24E5EFB2">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2024年11月1日贵阳市云岩区人民法院作出（2024）黔0103破申52号民事裁定书，受理贵州汉唐佳华酒店管理有限公司破产清算案；</w:t>
      </w:r>
    </w:p>
    <w:p w14:paraId="54B65D18">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2024年11月8日贵阳市云岩区人民法院出具（2024）黔0103破34号决定书，指定贵州北斗星律师事务所担任管理人；</w:t>
      </w:r>
    </w:p>
    <w:p w14:paraId="044713FF">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2026年6月19日贵阳市云岩区人民法院裁定宣告贵州汉唐佳华酒店管理有限公司破产；</w:t>
      </w:r>
    </w:p>
    <w:p w14:paraId="6053B47F">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贵州汉唐佳华酒店管理有限公司破产财产变价方案（修订2）》经第三次债权人会议表决未获通过，贵阳市云岩区人民法院于2026年6月22日作出（2024）黔0103破34号之三民事裁定书予以认可，同意管理人通过淘宝网阿里拍卖平台网络拍卖处置可移动实物资产。</w:t>
      </w:r>
    </w:p>
    <w:p w14:paraId="63A77EB0">
      <w:pPr>
        <w:spacing w:before="320" w:after="120" w:line="288" w:lineRule="auto"/>
        <w:ind w:left="0" w:firstLine="602" w:firstLineChars="200"/>
        <w:jc w:val="left"/>
        <w:outlineLvl w:val="1"/>
        <w:rPr>
          <w:rFonts w:hint="eastAsia" w:ascii="仿宋" w:hAnsi="仿宋" w:eastAsia="仿宋" w:cs="仿宋"/>
          <w:sz w:val="30"/>
          <w:szCs w:val="30"/>
        </w:rPr>
      </w:pPr>
      <w:bookmarkStart w:id="2" w:name="heading_3"/>
      <w:r>
        <w:rPr>
          <w:rFonts w:hint="eastAsia" w:ascii="仿宋" w:hAnsi="仿宋" w:eastAsia="仿宋" w:cs="仿宋"/>
          <w:b/>
          <w:sz w:val="30"/>
          <w:szCs w:val="30"/>
        </w:rPr>
        <w:t>二、拍卖标的</w:t>
      </w:r>
      <w:bookmarkEnd w:id="2"/>
    </w:p>
    <w:p w14:paraId="6DDC4DB6">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rPr>
        <w:t>贵州汉唐佳华酒店管理有限公司希尔顿花园酒店分公司全部可移动实物资产（酒店家具、电器、设备、布草等）</w:t>
      </w:r>
    </w:p>
    <w:p w14:paraId="7DF99766">
      <w:pPr>
        <w:spacing w:before="300" w:after="120" w:line="288" w:lineRule="auto"/>
        <w:ind w:left="0" w:firstLine="602" w:firstLineChars="200"/>
        <w:jc w:val="left"/>
        <w:outlineLvl w:val="2"/>
        <w:rPr>
          <w:rFonts w:hint="eastAsia" w:ascii="仿宋" w:hAnsi="仿宋" w:eastAsia="仿宋" w:cs="仿宋"/>
          <w:sz w:val="30"/>
          <w:szCs w:val="30"/>
        </w:rPr>
      </w:pPr>
      <w:bookmarkStart w:id="3" w:name="heading_4"/>
      <w:r>
        <w:rPr>
          <w:rFonts w:hint="eastAsia" w:ascii="仿宋" w:hAnsi="仿宋" w:eastAsia="仿宋" w:cs="仿宋"/>
          <w:b/>
          <w:sz w:val="30"/>
          <w:szCs w:val="30"/>
        </w:rPr>
        <w:t>（一）资产概况</w:t>
      </w:r>
      <w:bookmarkEnd w:id="3"/>
    </w:p>
    <w:p w14:paraId="1B34AE56">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rPr>
        <w:t>根据《贵州汉唐佳华酒店管理有限公司（希尔顿花园酒店分公司）拟破产清算涉及对位于贵阳市云岩区东山路217号希尔顿花园酒店所有投入资产市场价值资产评估报告》（贵州中联资评报字[2024]第0096号），可移动实物资产评估价值合计</w:t>
      </w:r>
      <w:r>
        <w:rPr>
          <w:rFonts w:hint="eastAsia" w:ascii="仿宋" w:hAnsi="仿宋" w:eastAsia="仿宋" w:cs="仿宋"/>
          <w:b/>
          <w:sz w:val="30"/>
          <w:szCs w:val="30"/>
        </w:rPr>
        <w:t>18,977,140.00元</w:t>
      </w:r>
      <w:r>
        <w:rPr>
          <w:rFonts w:hint="eastAsia" w:ascii="仿宋" w:hAnsi="仿宋" w:eastAsia="仿宋" w:cs="仿宋"/>
          <w:sz w:val="30"/>
          <w:szCs w:val="30"/>
        </w:rPr>
        <w:t>，具体包括：</w:t>
      </w:r>
    </w:p>
    <w:tbl>
      <w:tblPr>
        <w:tblStyle w:val="2"/>
        <w:tblW w:w="8281"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832"/>
        <w:gridCol w:w="4248"/>
        <w:gridCol w:w="2227"/>
        <w:gridCol w:w="974"/>
      </w:tblGrid>
      <w:tr w14:paraId="73C5CA4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D8F6B4">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序号</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FB3DC0">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项目名称</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DC0A5C">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评估金额</w:t>
            </w:r>
          </w:p>
          <w:p w14:paraId="070C0BBF">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（元）</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880E7F">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项数</w:t>
            </w:r>
          </w:p>
        </w:tc>
      </w:tr>
      <w:tr w14:paraId="33FDA7C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46267F">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1</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20CF28">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酒店杂件</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1153FF">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114,260.00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A4BE0B">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99项</w:t>
            </w:r>
          </w:p>
        </w:tc>
      </w:tr>
      <w:tr w14:paraId="6E25932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D4D28F">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2</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716B78">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酒店瓷器</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54025E">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4,022.00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2EBE2B">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73项</w:t>
            </w:r>
          </w:p>
        </w:tc>
      </w:tr>
      <w:tr w14:paraId="74F69A2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A2868A">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3</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84787A">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酒店玻璃用品</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2F7D8A9">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2,233.00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78A3EF">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22项</w:t>
            </w:r>
          </w:p>
        </w:tc>
      </w:tr>
      <w:tr w14:paraId="362EDEF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BE0E19">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4</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1A7ECF">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酒店不锈钢用品</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E31A3F">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2,074.00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A57803">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40项</w:t>
            </w:r>
          </w:p>
        </w:tc>
      </w:tr>
      <w:tr w14:paraId="32EF52A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D16CF86">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5</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75F2D4">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酒店电器</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14BB3A">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1,141,677.00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C398E4">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88项</w:t>
            </w:r>
          </w:p>
        </w:tc>
      </w:tr>
      <w:tr w14:paraId="29DCDD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5255BD">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6</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D209BC">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酒店布草</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50880ED">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182,777.00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267D97">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30项</w:t>
            </w:r>
          </w:p>
        </w:tc>
      </w:tr>
      <w:tr w14:paraId="06E5F84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DB59F1">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7</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BA24FA">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酒店客房家具</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8B086F">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3,005,686.00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2FFD7B7">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75项</w:t>
            </w:r>
          </w:p>
        </w:tc>
      </w:tr>
      <w:tr w14:paraId="2369A4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C731D1">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8</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C986CA">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酒店制服</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D388D2">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7,786.00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FCC1383">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40项</w:t>
            </w:r>
          </w:p>
        </w:tc>
      </w:tr>
      <w:tr w14:paraId="7E786C6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8CE1C5">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9</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020E6B">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酒店办公家具家电</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A4DBCED">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817,374.00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EAAE71">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203项</w:t>
            </w:r>
          </w:p>
        </w:tc>
      </w:tr>
      <w:tr w14:paraId="77BA09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77C0DEB">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10</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39C50FF">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健身房&amp;洗衣房资产</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4A1D65A">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82,990.00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C9DE6D">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24项</w:t>
            </w:r>
          </w:p>
        </w:tc>
      </w:tr>
      <w:tr w14:paraId="31E8D0D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CC0303">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11</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82440B">
            <w:pPr>
              <w:snapToGrid w:val="0"/>
              <w:spacing w:before="120" w:after="120" w:line="240" w:lineRule="auto"/>
              <w:ind w:left="0" w:leftChars="0" w:right="0" w:rightChars="0" w:firstLine="0" w:firstLineChars="0"/>
              <w:jc w:val="left"/>
              <w:rPr>
                <w:rFonts w:hint="eastAsia" w:ascii="仿宋" w:hAnsi="仿宋" w:eastAsia="仿宋" w:cs="仿宋"/>
                <w:sz w:val="30"/>
                <w:szCs w:val="30"/>
              </w:rPr>
            </w:pPr>
            <w:r>
              <w:rPr>
                <w:rFonts w:hint="eastAsia" w:ascii="仿宋" w:hAnsi="仿宋" w:eastAsia="仿宋" w:cs="仿宋"/>
                <w:sz w:val="30"/>
                <w:szCs w:val="30"/>
              </w:rPr>
              <w:t>酒店工程物资（含电梯、空调、新风系统、消防设备、冷热水机组等）</w:t>
            </w: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6D71AE">
            <w:pPr>
              <w:snapToGrid w:val="0"/>
              <w:spacing w:before="120" w:after="120" w:line="240" w:lineRule="auto"/>
              <w:ind w:left="0" w:leftChars="0" w:right="0" w:rightChars="0" w:firstLine="0" w:firstLineChars="0"/>
              <w:jc w:val="right"/>
              <w:rPr>
                <w:rFonts w:hint="eastAsia" w:ascii="仿宋" w:hAnsi="仿宋" w:eastAsia="仿宋" w:cs="仿宋"/>
                <w:sz w:val="30"/>
                <w:szCs w:val="30"/>
              </w:rPr>
            </w:pPr>
            <w:r>
              <w:rPr>
                <w:rFonts w:hint="eastAsia" w:ascii="仿宋" w:hAnsi="仿宋" w:eastAsia="仿宋" w:cs="仿宋"/>
                <w:sz w:val="30"/>
                <w:szCs w:val="30"/>
              </w:rPr>
              <w:t>13,616,261.00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88A24D7">
            <w:pPr>
              <w:snapToGrid w:val="0"/>
              <w:spacing w:before="120" w:after="120" w:line="240" w:lineRule="auto"/>
              <w:ind w:left="0" w:leftChars="0" w:right="0" w:rightChars="0" w:firstLine="0" w:firstLineChars="0"/>
              <w:jc w:val="center"/>
              <w:rPr>
                <w:rFonts w:hint="eastAsia" w:ascii="仿宋" w:hAnsi="仿宋" w:eastAsia="仿宋" w:cs="仿宋"/>
                <w:sz w:val="30"/>
                <w:szCs w:val="30"/>
              </w:rPr>
            </w:pPr>
            <w:r>
              <w:rPr>
                <w:rFonts w:hint="eastAsia" w:ascii="仿宋" w:hAnsi="仿宋" w:eastAsia="仿宋" w:cs="仿宋"/>
                <w:sz w:val="30"/>
                <w:szCs w:val="30"/>
              </w:rPr>
              <w:t>66项</w:t>
            </w:r>
          </w:p>
        </w:tc>
      </w:tr>
      <w:tr w14:paraId="00EDE7B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3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FB3F17">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合计</w:t>
            </w:r>
          </w:p>
        </w:tc>
        <w:tc>
          <w:tcPr>
            <w:tcW w:w="4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A42BA8">
            <w:pPr>
              <w:snapToGrid w:val="0"/>
              <w:spacing w:before="120" w:after="120" w:line="240" w:lineRule="auto"/>
              <w:ind w:left="0" w:leftChars="0" w:right="0" w:rightChars="0" w:firstLine="0" w:firstLineChars="0"/>
              <w:jc w:val="left"/>
              <w:rPr>
                <w:rFonts w:hint="eastAsia" w:ascii="仿宋" w:hAnsi="仿宋" w:eastAsia="仿宋" w:cs="仿宋"/>
                <w:b/>
                <w:sz w:val="30"/>
                <w:szCs w:val="30"/>
              </w:rPr>
            </w:pPr>
          </w:p>
        </w:tc>
        <w:tc>
          <w:tcPr>
            <w:tcW w:w="22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FFF316">
            <w:pPr>
              <w:snapToGrid w:val="0"/>
              <w:spacing w:before="120" w:after="120" w:line="240" w:lineRule="auto"/>
              <w:ind w:left="0" w:leftChars="0" w:right="0" w:rightChars="0" w:firstLine="0" w:firstLineChars="0"/>
              <w:jc w:val="right"/>
              <w:rPr>
                <w:rFonts w:hint="eastAsia" w:ascii="仿宋" w:hAnsi="仿宋" w:eastAsia="仿宋" w:cs="仿宋"/>
                <w:b/>
                <w:sz w:val="30"/>
                <w:szCs w:val="30"/>
              </w:rPr>
            </w:pPr>
            <w:r>
              <w:rPr>
                <w:rFonts w:hint="eastAsia" w:ascii="仿宋" w:hAnsi="仿宋" w:eastAsia="仿宋" w:cs="仿宋"/>
                <w:b/>
                <w:sz w:val="30"/>
                <w:szCs w:val="30"/>
              </w:rPr>
              <w:t>18,977,140.00</w:t>
            </w:r>
          </w:p>
        </w:tc>
        <w:tc>
          <w:tcPr>
            <w:tcW w:w="97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9F4B76">
            <w:pPr>
              <w:snapToGrid w:val="0"/>
              <w:spacing w:before="120" w:after="120" w:line="240" w:lineRule="auto"/>
              <w:ind w:left="0" w:leftChars="0" w:right="0" w:rightChars="0" w:firstLine="0" w:firstLineChars="0"/>
              <w:jc w:val="center"/>
              <w:rPr>
                <w:rFonts w:hint="eastAsia" w:ascii="仿宋" w:hAnsi="仿宋" w:eastAsia="仿宋" w:cs="仿宋"/>
                <w:b/>
                <w:sz w:val="30"/>
                <w:szCs w:val="30"/>
              </w:rPr>
            </w:pPr>
            <w:r>
              <w:rPr>
                <w:rFonts w:hint="eastAsia" w:ascii="仿宋" w:hAnsi="仿宋" w:eastAsia="仿宋" w:cs="仿宋"/>
                <w:b/>
                <w:sz w:val="30"/>
                <w:szCs w:val="30"/>
              </w:rPr>
              <w:t>760项</w:t>
            </w:r>
          </w:p>
        </w:tc>
      </w:tr>
    </w:tbl>
    <w:p w14:paraId="65A5DDB5">
      <w:pPr>
        <w:spacing w:before="300" w:after="120" w:line="288" w:lineRule="auto"/>
        <w:ind w:left="0" w:firstLine="602" w:firstLineChars="200"/>
        <w:jc w:val="left"/>
        <w:outlineLvl w:val="2"/>
        <w:rPr>
          <w:rFonts w:hint="eastAsia" w:ascii="仿宋" w:hAnsi="仿宋" w:eastAsia="仿宋" w:cs="仿宋"/>
          <w:sz w:val="30"/>
          <w:szCs w:val="30"/>
        </w:rPr>
      </w:pPr>
      <w:bookmarkStart w:id="4" w:name="heading_5"/>
      <w:r>
        <w:rPr>
          <w:rFonts w:hint="eastAsia" w:ascii="仿宋" w:hAnsi="仿宋" w:eastAsia="仿宋" w:cs="仿宋"/>
          <w:b/>
          <w:sz w:val="30"/>
          <w:szCs w:val="30"/>
        </w:rPr>
        <w:t>（二）权属与瑕疵说明</w:t>
      </w:r>
      <w:bookmarkEnd w:id="4"/>
    </w:p>
    <w:p w14:paraId="03F2C72B">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上述资产存放于贵阳市云岩区东山路217号中天世纪新城五组团环岛南侧商业栋希尔顿花园酒店内，资产所有权归属于贵州汉唐佳华酒店管理有限公司希尔顿花园酒店分公司；</w:t>
      </w:r>
    </w:p>
    <w:p w14:paraId="78586B22">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酒店工程物资中的电梯、中央空调、新风系统、消防系统等设备与房屋建筑存在附合，拆除需专业施工，拆除费用、拆除过程中对建筑物造成的损坏修复责任均由买受人承担；</w:t>
      </w:r>
    </w:p>
    <w:p w14:paraId="54F9FDBA">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标的按现状拍卖，资产实际数量、成新率、完好程度以现场实物为准，评估报告所列明细仅供参考，管理人不保证账实完全一致；</w:t>
      </w:r>
    </w:p>
    <w:p w14:paraId="4E7CA272">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部分资产购置时间为2016年，已使用多年，存在折旧损耗、部件老化、功能故障等情形，竞买人须自行实地查验。</w:t>
      </w:r>
    </w:p>
    <w:p w14:paraId="04B32893">
      <w:pPr>
        <w:spacing w:before="300" w:after="120" w:line="288" w:lineRule="auto"/>
        <w:ind w:left="0" w:firstLine="602" w:firstLineChars="200"/>
        <w:jc w:val="left"/>
        <w:outlineLvl w:val="2"/>
        <w:rPr>
          <w:rFonts w:hint="eastAsia" w:ascii="仿宋" w:hAnsi="仿宋" w:eastAsia="仿宋" w:cs="仿宋"/>
          <w:sz w:val="30"/>
          <w:szCs w:val="30"/>
        </w:rPr>
      </w:pPr>
      <w:bookmarkStart w:id="5" w:name="heading_6"/>
      <w:r>
        <w:rPr>
          <w:rFonts w:hint="eastAsia" w:ascii="仿宋" w:hAnsi="仿宋" w:eastAsia="仿宋" w:cs="仿宋"/>
          <w:b/>
          <w:sz w:val="30"/>
          <w:szCs w:val="30"/>
        </w:rPr>
        <w:t>（三）存放地点</w:t>
      </w:r>
      <w:bookmarkEnd w:id="5"/>
    </w:p>
    <w:p w14:paraId="47E212B3">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rPr>
        <w:t>贵州省贵阳市云岩区东山路217号希顿花园酒店</w:t>
      </w:r>
    </w:p>
    <w:p w14:paraId="74CB7153">
      <w:pPr>
        <w:spacing w:before="300" w:after="120" w:line="288" w:lineRule="auto"/>
        <w:ind w:left="0" w:firstLine="602" w:firstLineChars="200"/>
        <w:jc w:val="left"/>
        <w:outlineLvl w:val="2"/>
        <w:rPr>
          <w:rFonts w:hint="eastAsia" w:ascii="仿宋" w:hAnsi="仿宋" w:eastAsia="仿宋" w:cs="仿宋"/>
          <w:sz w:val="30"/>
          <w:szCs w:val="30"/>
        </w:rPr>
      </w:pPr>
      <w:bookmarkStart w:id="6" w:name="heading_7"/>
      <w:r>
        <w:rPr>
          <w:rFonts w:hint="eastAsia" w:ascii="仿宋" w:hAnsi="仿宋" w:eastAsia="仿宋" w:cs="仿宋"/>
          <w:b/>
          <w:sz w:val="30"/>
          <w:szCs w:val="30"/>
        </w:rPr>
        <w:t>（四）起拍价、保证金、增价幅度</w:t>
      </w:r>
      <w:bookmarkEnd w:id="6"/>
    </w:p>
    <w:p w14:paraId="0F1E784E">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起拍价：</w:t>
      </w:r>
      <w:r>
        <w:rPr>
          <w:rFonts w:hint="eastAsia" w:ascii="仿宋" w:hAnsi="仿宋" w:eastAsia="仿宋" w:cs="仿宋"/>
          <w:b/>
          <w:sz w:val="30"/>
          <w:szCs w:val="30"/>
        </w:rPr>
        <w:t>18,977,140.00元</w:t>
      </w:r>
      <w:r>
        <w:rPr>
          <w:rFonts w:hint="eastAsia" w:ascii="仿宋" w:hAnsi="仿宋" w:eastAsia="仿宋" w:cs="仿宋"/>
          <w:sz w:val="30"/>
          <w:szCs w:val="30"/>
        </w:rPr>
        <w:t>（评估价）</w:t>
      </w:r>
    </w:p>
    <w:p w14:paraId="1422FCAD">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保证金：</w:t>
      </w:r>
      <w:r>
        <w:rPr>
          <w:rFonts w:hint="eastAsia" w:ascii="仿宋" w:hAnsi="仿宋" w:eastAsia="仿宋" w:cs="仿宋"/>
          <w:b/>
          <w:sz w:val="30"/>
          <w:szCs w:val="30"/>
        </w:rPr>
        <w:t>50,000元</w:t>
      </w:r>
    </w:p>
    <w:p w14:paraId="761C86E9">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增价幅度：</w:t>
      </w:r>
      <w:r>
        <w:rPr>
          <w:rFonts w:hint="eastAsia" w:ascii="仿宋" w:hAnsi="仿宋" w:eastAsia="仿宋" w:cs="仿宋"/>
          <w:b/>
          <w:sz w:val="30"/>
          <w:szCs w:val="30"/>
        </w:rPr>
        <w:t>1,000元及整数倍</w:t>
      </w:r>
    </w:p>
    <w:p w14:paraId="2747C306">
      <w:pPr>
        <w:spacing w:before="300" w:after="120" w:line="288" w:lineRule="auto"/>
        <w:ind w:left="0" w:firstLine="602" w:firstLineChars="200"/>
        <w:jc w:val="left"/>
        <w:outlineLvl w:val="2"/>
        <w:rPr>
          <w:rFonts w:hint="eastAsia" w:ascii="仿宋" w:hAnsi="仿宋" w:eastAsia="仿宋" w:cs="仿宋"/>
          <w:sz w:val="30"/>
          <w:szCs w:val="30"/>
        </w:rPr>
      </w:pPr>
      <w:bookmarkStart w:id="7" w:name="heading_8"/>
      <w:r>
        <w:rPr>
          <w:rFonts w:hint="eastAsia" w:ascii="仿宋" w:hAnsi="仿宋" w:eastAsia="仿宋" w:cs="仿宋"/>
          <w:b/>
          <w:sz w:val="30"/>
          <w:szCs w:val="30"/>
        </w:rPr>
        <w:t>（五）拍卖平台</w:t>
      </w:r>
      <w:bookmarkEnd w:id="7"/>
    </w:p>
    <w:p w14:paraId="4EACE854">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rPr>
        <w:t>淘宝网阿里拍卖破产强清平台（</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"https://paimai.taobao.com/" \h </w:instrText>
      </w:r>
      <w:r>
        <w:rPr>
          <w:rFonts w:hint="eastAsia" w:ascii="仿宋" w:hAnsi="仿宋" w:eastAsia="仿宋" w:cs="仿宋"/>
          <w:sz w:val="30"/>
          <w:szCs w:val="30"/>
        </w:rPr>
        <w:fldChar w:fldCharType="separate"/>
      </w:r>
      <w:r>
        <w:rPr>
          <w:rFonts w:hint="eastAsia" w:ascii="仿宋" w:hAnsi="仿宋" w:eastAsia="仿宋" w:cs="仿宋"/>
          <w:color w:val="3370FF"/>
          <w:sz w:val="30"/>
          <w:szCs w:val="30"/>
        </w:rPr>
        <w:t>https://paimai.taobao.com/</w:t>
      </w:r>
      <w:r>
        <w:rPr>
          <w:rFonts w:hint="eastAsia" w:ascii="仿宋" w:hAnsi="仿宋" w:eastAsia="仿宋" w:cs="仿宋"/>
          <w:color w:val="3370FF"/>
          <w:sz w:val="30"/>
          <w:szCs w:val="30"/>
        </w:rPr>
        <w:fldChar w:fldCharType="end"/>
      </w:r>
      <w:r>
        <w:rPr>
          <w:rFonts w:hint="eastAsia" w:ascii="仿宋" w:hAnsi="仿宋" w:eastAsia="仿宋" w:cs="仿宋"/>
          <w:sz w:val="30"/>
          <w:szCs w:val="30"/>
        </w:rPr>
        <w:t>）</w:t>
      </w:r>
    </w:p>
    <w:p w14:paraId="134AA345">
      <w:pPr>
        <w:spacing w:before="320" w:after="120" w:line="288" w:lineRule="auto"/>
        <w:ind w:left="0" w:firstLine="602" w:firstLineChars="200"/>
        <w:jc w:val="left"/>
        <w:outlineLvl w:val="1"/>
        <w:rPr>
          <w:rFonts w:hint="eastAsia" w:ascii="仿宋" w:hAnsi="仿宋" w:eastAsia="仿宋" w:cs="仿宋"/>
          <w:sz w:val="30"/>
          <w:szCs w:val="30"/>
        </w:rPr>
      </w:pPr>
      <w:bookmarkStart w:id="8" w:name="heading_9"/>
      <w:r>
        <w:rPr>
          <w:rFonts w:hint="eastAsia" w:ascii="仿宋" w:hAnsi="仿宋" w:eastAsia="仿宋" w:cs="仿宋"/>
          <w:b/>
          <w:sz w:val="30"/>
          <w:szCs w:val="30"/>
        </w:rPr>
        <w:t>三、拍卖时间</w:t>
      </w:r>
      <w:bookmarkEnd w:id="8"/>
    </w:p>
    <w:p w14:paraId="3CEDE60C">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2026</w:t>
      </w:r>
      <w:r>
        <w:rPr>
          <w:rFonts w:hint="eastAsia" w:ascii="仿宋" w:hAnsi="仿宋" w:eastAsia="仿宋" w:cs="仿宋"/>
          <w:sz w:val="30"/>
          <w:szCs w:val="30"/>
        </w:rPr>
        <w:t>年</w:t>
      </w:r>
      <w:r>
        <w:rPr>
          <w:rFonts w:hint="eastAsia" w:ascii="仿宋" w:hAnsi="仿宋" w:eastAsia="仿宋" w:cs="仿宋"/>
          <w:sz w:val="30"/>
          <w:szCs w:val="30"/>
          <w:lang w:val="en-US" w:eastAsia="zh-CN"/>
        </w:rPr>
        <w:t>8</w:t>
      </w:r>
      <w:r>
        <w:rPr>
          <w:rFonts w:hint="eastAsia" w:ascii="仿宋" w:hAnsi="仿宋" w:eastAsia="仿宋" w:cs="仿宋"/>
          <w:sz w:val="30"/>
          <w:szCs w:val="30"/>
        </w:rPr>
        <w:t>月</w:t>
      </w:r>
      <w:r>
        <w:rPr>
          <w:rFonts w:hint="eastAsia" w:ascii="仿宋" w:hAnsi="仿宋" w:eastAsia="仿宋" w:cs="仿宋"/>
          <w:sz w:val="30"/>
          <w:szCs w:val="30"/>
          <w:lang w:val="en-US" w:eastAsia="zh-CN"/>
        </w:rPr>
        <w:t>23</w:t>
      </w:r>
      <w:r>
        <w:rPr>
          <w:rFonts w:hint="eastAsia" w:ascii="仿宋" w:hAnsi="仿宋" w:eastAsia="仿宋" w:cs="仿宋"/>
          <w:sz w:val="30"/>
          <w:szCs w:val="30"/>
        </w:rPr>
        <w:t>日10:00起至</w:t>
      </w:r>
      <w:r>
        <w:rPr>
          <w:rFonts w:hint="eastAsia" w:ascii="仿宋" w:hAnsi="仿宋" w:eastAsia="仿宋" w:cs="仿宋"/>
          <w:sz w:val="30"/>
          <w:szCs w:val="30"/>
          <w:lang w:val="en-US" w:eastAsia="zh-CN"/>
        </w:rPr>
        <w:t>2026</w:t>
      </w:r>
      <w:r>
        <w:rPr>
          <w:rFonts w:hint="eastAsia" w:ascii="仿宋" w:hAnsi="仿宋" w:eastAsia="仿宋" w:cs="仿宋"/>
          <w:sz w:val="30"/>
          <w:szCs w:val="30"/>
        </w:rPr>
        <w:t>年</w:t>
      </w:r>
      <w:r>
        <w:rPr>
          <w:rFonts w:hint="eastAsia" w:ascii="仿宋" w:hAnsi="仿宋" w:eastAsia="仿宋" w:cs="仿宋"/>
          <w:sz w:val="30"/>
          <w:szCs w:val="30"/>
          <w:lang w:val="en-US" w:eastAsia="zh-CN"/>
        </w:rPr>
        <w:t>8</w:t>
      </w:r>
      <w:r>
        <w:rPr>
          <w:rFonts w:hint="eastAsia" w:ascii="仿宋" w:hAnsi="仿宋" w:eastAsia="仿宋" w:cs="仿宋"/>
          <w:sz w:val="30"/>
          <w:szCs w:val="30"/>
        </w:rPr>
        <w:t>月</w:t>
      </w:r>
      <w:r>
        <w:rPr>
          <w:rFonts w:hint="eastAsia" w:ascii="仿宋" w:hAnsi="仿宋" w:eastAsia="仿宋" w:cs="仿宋"/>
          <w:color w:val="000000" w:themeColor="text1"/>
          <w:sz w:val="30"/>
          <w:szCs w:val="30"/>
          <w:lang w:val="en-US" w:eastAsia="zh-CN"/>
          <w14:textFill>
            <w14:solidFill>
              <w14:schemeClr w14:val="tx1"/>
            </w14:solidFill>
          </w14:textFill>
        </w:rPr>
        <w:t>24</w:t>
      </w:r>
      <w:r>
        <w:rPr>
          <w:rFonts w:hint="eastAsia" w:ascii="仿宋" w:hAnsi="仿宋" w:eastAsia="仿宋" w:cs="仿宋"/>
          <w:sz w:val="30"/>
          <w:szCs w:val="30"/>
        </w:rPr>
        <w:t>日10:00止（延时除外），竞价结束前5分钟如有出价自动延时5分钟。</w:t>
      </w:r>
    </w:p>
    <w:p w14:paraId="1EA14B87">
      <w:pPr>
        <w:spacing w:before="320" w:after="120" w:line="288" w:lineRule="auto"/>
        <w:ind w:left="0" w:firstLine="602" w:firstLineChars="200"/>
        <w:jc w:val="left"/>
        <w:outlineLvl w:val="1"/>
        <w:rPr>
          <w:rFonts w:hint="eastAsia" w:ascii="仿宋" w:hAnsi="仿宋" w:eastAsia="仿宋" w:cs="仿宋"/>
          <w:sz w:val="30"/>
          <w:szCs w:val="30"/>
        </w:rPr>
      </w:pPr>
      <w:bookmarkStart w:id="9" w:name="heading_10"/>
      <w:r>
        <w:rPr>
          <w:rFonts w:hint="eastAsia" w:ascii="仿宋" w:hAnsi="仿宋" w:eastAsia="仿宋" w:cs="仿宋"/>
          <w:b/>
          <w:sz w:val="30"/>
          <w:szCs w:val="30"/>
        </w:rPr>
        <w:t>四、竞买人条件</w:t>
      </w:r>
      <w:bookmarkEnd w:id="9"/>
    </w:p>
    <w:p w14:paraId="616BE8CE">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凡具备完全民事行为能力的自然人、法人、其他组织均可参与；</w:t>
      </w:r>
    </w:p>
    <w:p w14:paraId="6858D08E">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管理人、法院工作人员、阿里拍卖平台及拍卖辅助机构工作人员及近亲属不得参与竞买或委托他人竞买；</w:t>
      </w:r>
    </w:p>
    <w:p w14:paraId="6243DCA3">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可委托代理人参拍，须开拍前3个工作日至管理人处提交授权委托书、双方身份证明，手续不全视为代理人个人行为；</w:t>
      </w:r>
    </w:p>
    <w:p w14:paraId="7EE0EFED">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竞买人须自行核查是否具备大型设备拆除、运输资质，无资质参拍的，一切损失自行承担。</w:t>
      </w:r>
    </w:p>
    <w:p w14:paraId="01543B25">
      <w:pPr>
        <w:spacing w:before="320" w:after="120" w:line="288" w:lineRule="auto"/>
        <w:ind w:left="0" w:firstLine="602" w:firstLineChars="200"/>
        <w:jc w:val="left"/>
        <w:outlineLvl w:val="1"/>
        <w:rPr>
          <w:rFonts w:hint="eastAsia" w:ascii="仿宋" w:hAnsi="仿宋" w:eastAsia="仿宋" w:cs="仿宋"/>
          <w:sz w:val="30"/>
          <w:szCs w:val="30"/>
        </w:rPr>
      </w:pPr>
      <w:bookmarkStart w:id="10" w:name="heading_11"/>
      <w:r>
        <w:rPr>
          <w:rFonts w:hint="eastAsia" w:ascii="仿宋" w:hAnsi="仿宋" w:eastAsia="仿宋" w:cs="仿宋"/>
          <w:b/>
          <w:sz w:val="30"/>
          <w:szCs w:val="30"/>
        </w:rPr>
        <w:t>五、咨询、看样安排</w:t>
      </w:r>
      <w:bookmarkEnd w:id="10"/>
    </w:p>
    <w:p w14:paraId="6325B9B5">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咨询联系人：</w:t>
      </w:r>
      <w:r>
        <w:rPr>
          <w:rFonts w:hint="eastAsia" w:ascii="仿宋" w:hAnsi="仿宋" w:eastAsia="仿宋" w:cs="仿宋"/>
          <w:sz w:val="30"/>
          <w:szCs w:val="30"/>
          <w:lang w:val="en-US" w:eastAsia="zh-CN"/>
        </w:rPr>
        <w:t>陈</w:t>
      </w:r>
      <w:r>
        <w:rPr>
          <w:rFonts w:hint="eastAsia" w:ascii="仿宋" w:hAnsi="仿宋" w:eastAsia="仿宋" w:cs="仿宋"/>
          <w:sz w:val="30"/>
          <w:szCs w:val="30"/>
        </w:rPr>
        <w:t>律师，联系电话：</w:t>
      </w:r>
      <w:r>
        <w:rPr>
          <w:rFonts w:hint="eastAsia" w:ascii="仿宋" w:hAnsi="仿宋" w:eastAsia="仿宋" w:cs="仿宋"/>
          <w:sz w:val="30"/>
          <w:szCs w:val="30"/>
          <w:lang w:val="en-US" w:eastAsia="zh-CN"/>
        </w:rPr>
        <w:t>18984843997</w:t>
      </w:r>
      <w:r>
        <w:rPr>
          <w:rFonts w:hint="eastAsia" w:ascii="仿宋" w:hAnsi="仿宋" w:eastAsia="仿宋" w:cs="仿宋"/>
          <w:sz w:val="30"/>
          <w:szCs w:val="30"/>
        </w:rPr>
        <w:t>（工作日9:00-12:00、14:00-17:00）；</w:t>
      </w:r>
    </w:p>
    <w:p w14:paraId="5EA77B25">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集中看样时间：需提前1天电话预约，管理人统一安排现场看样；</w:t>
      </w:r>
    </w:p>
    <w:p w14:paraId="19D0514E">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未实地看样即参拍，视为完全知晓标的现状、权属瑕疵、拆除运输风险，自愿接受全部现状，事后不得以实物、手续问题提出异议。</w:t>
      </w:r>
    </w:p>
    <w:p w14:paraId="09C29A97">
      <w:pPr>
        <w:spacing w:before="320" w:after="120" w:line="288" w:lineRule="auto"/>
        <w:ind w:left="0" w:firstLine="602" w:firstLineChars="200"/>
        <w:jc w:val="left"/>
        <w:outlineLvl w:val="1"/>
        <w:rPr>
          <w:rFonts w:hint="eastAsia" w:ascii="仿宋" w:hAnsi="仿宋" w:eastAsia="仿宋" w:cs="仿宋"/>
          <w:sz w:val="30"/>
          <w:szCs w:val="30"/>
        </w:rPr>
      </w:pPr>
      <w:bookmarkStart w:id="11" w:name="heading_12"/>
      <w:r>
        <w:rPr>
          <w:rFonts w:hint="eastAsia" w:ascii="仿宋" w:hAnsi="仿宋" w:eastAsia="仿宋" w:cs="仿宋"/>
          <w:b/>
          <w:sz w:val="30"/>
          <w:szCs w:val="30"/>
        </w:rPr>
        <w:t>六、保证金、成交款项缴纳</w:t>
      </w:r>
      <w:bookmarkEnd w:id="11"/>
    </w:p>
    <w:p w14:paraId="24F1583F">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首次出价前，竞买人通过阿里拍卖平台线上足额缴纳保证金，系统自动冻结；未成交保证金竞价结束后3-5个工作日原路无息退还；</w:t>
      </w:r>
    </w:p>
    <w:p w14:paraId="7D5FB4E9">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拍卖成交后，保证金自动转为成交款一部分，买受人须在成交之日起7日内将尾款足额汇入管理人指定账户：</w:t>
      </w:r>
    </w:p>
    <w:p w14:paraId="0128F03B">
      <w:pPr>
        <w:spacing w:before="120" w:after="120" w:line="288" w:lineRule="auto"/>
        <w:ind w:left="596" w:leftChars="284" w:firstLine="0" w:firstLineChars="0"/>
        <w:jc w:val="left"/>
        <w:rPr>
          <w:rFonts w:hint="eastAsia" w:ascii="仿宋" w:hAnsi="仿宋" w:eastAsia="仿宋" w:cs="仿宋"/>
          <w:sz w:val="30"/>
          <w:szCs w:val="30"/>
        </w:rPr>
      </w:pPr>
      <w:r>
        <w:rPr>
          <w:rFonts w:hint="eastAsia" w:ascii="仿宋" w:hAnsi="仿宋" w:eastAsia="仿宋" w:cs="仿宋"/>
          <w:b/>
          <w:bCs/>
          <w:sz w:val="30"/>
          <w:szCs w:val="30"/>
        </w:rPr>
        <w:t>账户名称：</w:t>
      </w:r>
      <w:r>
        <w:rPr>
          <w:rFonts w:hint="eastAsia" w:ascii="仿宋" w:hAnsi="仿宋" w:eastAsia="仿宋" w:cs="仿宋"/>
          <w:sz w:val="30"/>
          <w:szCs w:val="30"/>
        </w:rPr>
        <w:t>贵州汉唐佳华酒店管理有限公司管理人</w:t>
      </w:r>
      <w:r>
        <w:rPr>
          <w:rFonts w:hint="eastAsia" w:ascii="仿宋" w:hAnsi="仿宋" w:eastAsia="仿宋" w:cs="仿宋"/>
          <w:sz w:val="30"/>
          <w:szCs w:val="30"/>
        </w:rPr>
        <w:br w:type="textWrapping"/>
      </w:r>
      <w:r>
        <w:rPr>
          <w:rFonts w:hint="eastAsia" w:ascii="仿宋" w:hAnsi="仿宋" w:eastAsia="仿宋" w:cs="仿宋"/>
          <w:b/>
          <w:bCs/>
          <w:sz w:val="30"/>
          <w:szCs w:val="30"/>
        </w:rPr>
        <w:t>开户行：</w:t>
      </w:r>
      <w:r>
        <w:rPr>
          <w:rFonts w:hint="eastAsia" w:ascii="仿宋" w:hAnsi="仿宋" w:eastAsia="仿宋" w:cs="仿宋"/>
          <w:sz w:val="30"/>
          <w:szCs w:val="30"/>
        </w:rPr>
        <w:t>中国农业银行股份有限公司贵阳云岩支行</w:t>
      </w:r>
    </w:p>
    <w:p w14:paraId="013043C8">
      <w:pPr>
        <w:spacing w:before="120" w:after="120" w:line="288" w:lineRule="auto"/>
        <w:ind w:left="0" w:firstLine="602" w:firstLineChars="200"/>
        <w:jc w:val="left"/>
        <w:rPr>
          <w:rFonts w:hint="eastAsia" w:ascii="仿宋" w:hAnsi="仿宋" w:eastAsia="仿宋" w:cs="仿宋"/>
          <w:sz w:val="30"/>
          <w:szCs w:val="30"/>
        </w:rPr>
      </w:pPr>
      <w:r>
        <w:rPr>
          <w:rFonts w:hint="eastAsia" w:ascii="仿宋" w:hAnsi="仿宋" w:eastAsia="仿宋" w:cs="仿宋"/>
          <w:b/>
          <w:bCs/>
          <w:sz w:val="30"/>
          <w:szCs w:val="30"/>
        </w:rPr>
        <w:t>账号：</w:t>
      </w:r>
      <w:r>
        <w:rPr>
          <w:rFonts w:hint="eastAsia" w:ascii="仿宋" w:hAnsi="仿宋" w:eastAsia="仿宋" w:cs="仿宋"/>
          <w:sz w:val="30"/>
          <w:szCs w:val="30"/>
        </w:rPr>
        <w:t>23113001040042626</w:t>
      </w:r>
    </w:p>
    <w:p w14:paraId="1964C39F">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逾期未付清尾款视为悔拍，保证金不予退还，管理人有权重新拍卖，原买受人不得再次参与，差价损失、拍卖费用由原悔拍人补足。</w:t>
      </w:r>
    </w:p>
    <w:p w14:paraId="4447AB61">
      <w:pPr>
        <w:spacing w:before="320" w:after="120" w:line="288" w:lineRule="auto"/>
        <w:ind w:left="0" w:firstLine="602" w:firstLineChars="200"/>
        <w:jc w:val="left"/>
        <w:outlineLvl w:val="1"/>
        <w:rPr>
          <w:rFonts w:hint="eastAsia" w:ascii="仿宋" w:hAnsi="仿宋" w:eastAsia="仿宋" w:cs="仿宋"/>
          <w:sz w:val="30"/>
          <w:szCs w:val="30"/>
        </w:rPr>
      </w:pPr>
      <w:bookmarkStart w:id="12" w:name="heading_13"/>
      <w:r>
        <w:rPr>
          <w:rFonts w:hint="eastAsia" w:ascii="仿宋" w:hAnsi="仿宋" w:eastAsia="仿宋" w:cs="仿宋"/>
          <w:b/>
          <w:sz w:val="30"/>
          <w:szCs w:val="30"/>
        </w:rPr>
        <w:t>七、标的移交与拆除清运</w:t>
      </w:r>
      <w:bookmarkEnd w:id="12"/>
    </w:p>
    <w:p w14:paraId="370FF1F9">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买受人全款到账后10个工作日内，凭付款凭证、身份证明至管理人办公地点签署成交确认书，办理资产移交手续；</w:t>
      </w:r>
    </w:p>
    <w:p w14:paraId="38F44C50">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全部资产的拆除、吊装、运输、清运、场地清理由买受人自行负责并承担全部费用，拆除施工须服从酒店物业及房屋产权方管理，施工安全责任由买受人承担；</w:t>
      </w:r>
    </w:p>
    <w:p w14:paraId="3332C593">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买受人须在全款到账后30日内完成全部资产的拆除清运，逾期未清运的，管理人有权收取场地占用费，超期60日视为买受人放弃剩余资产所有权；</w:t>
      </w:r>
    </w:p>
    <w:p w14:paraId="2FA41B04">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交付后资产的损毁、失窃、安全事故等一切责任、费用由买受人承担。</w:t>
      </w:r>
    </w:p>
    <w:p w14:paraId="1C74A008">
      <w:pPr>
        <w:spacing w:before="320" w:after="120" w:line="288" w:lineRule="auto"/>
        <w:ind w:left="0" w:firstLine="602" w:firstLineChars="200"/>
        <w:jc w:val="left"/>
        <w:outlineLvl w:val="1"/>
        <w:rPr>
          <w:rFonts w:hint="eastAsia" w:ascii="仿宋" w:hAnsi="仿宋" w:eastAsia="仿宋" w:cs="仿宋"/>
          <w:sz w:val="30"/>
          <w:szCs w:val="30"/>
        </w:rPr>
      </w:pPr>
      <w:bookmarkStart w:id="13" w:name="heading_14"/>
      <w:r>
        <w:rPr>
          <w:rFonts w:hint="eastAsia" w:ascii="仿宋" w:hAnsi="仿宋" w:eastAsia="仿宋" w:cs="仿宋"/>
          <w:b/>
          <w:sz w:val="30"/>
          <w:szCs w:val="30"/>
        </w:rPr>
        <w:t>八、税费与瑕疵风险</w:t>
      </w:r>
      <w:bookmarkEnd w:id="13"/>
    </w:p>
    <w:p w14:paraId="72885259">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本次拍卖所有交易税费</w:t>
      </w:r>
      <w:r>
        <w:rPr>
          <w:rFonts w:hint="eastAsia" w:ascii="仿宋" w:hAnsi="仿宋" w:eastAsia="仿宋" w:cs="仿宋"/>
          <w:sz w:val="30"/>
          <w:szCs w:val="30"/>
          <w:lang w:val="en-US" w:eastAsia="zh-CN"/>
        </w:rPr>
        <w:t>均由买方</w:t>
      </w:r>
      <w:bookmarkStart w:id="16" w:name="_GoBack"/>
      <w:bookmarkEnd w:id="16"/>
      <w:r>
        <w:rPr>
          <w:rFonts w:hint="eastAsia" w:ascii="仿宋" w:hAnsi="仿宋" w:eastAsia="仿宋" w:cs="仿宋"/>
          <w:sz w:val="30"/>
          <w:szCs w:val="30"/>
        </w:rPr>
        <w:t>承担；</w:t>
      </w:r>
    </w:p>
    <w:p w14:paraId="278BE450">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标的按现状拍卖，存在老化损耗、部件缺失、功能故障、拆除难度大等已知及未知瑕疵，管理人不承担瑕疵担保责任，竞买人自行尽调评估风险；</w:t>
      </w:r>
    </w:p>
    <w:p w14:paraId="38F0ED03">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标的无优先购买权人，若第三方主张权利，全部纠纷由买受人自行处理。</w:t>
      </w:r>
    </w:p>
    <w:p w14:paraId="2C36D95A">
      <w:pPr>
        <w:spacing w:before="320" w:after="120" w:line="288" w:lineRule="auto"/>
        <w:ind w:left="0" w:firstLine="602" w:firstLineChars="200"/>
        <w:jc w:val="left"/>
        <w:outlineLvl w:val="1"/>
        <w:rPr>
          <w:rFonts w:hint="eastAsia" w:ascii="仿宋" w:hAnsi="仿宋" w:eastAsia="仿宋" w:cs="仿宋"/>
          <w:sz w:val="30"/>
          <w:szCs w:val="30"/>
        </w:rPr>
      </w:pPr>
      <w:bookmarkStart w:id="14" w:name="heading_15"/>
      <w:r>
        <w:rPr>
          <w:rFonts w:hint="eastAsia" w:ascii="仿宋" w:hAnsi="仿宋" w:eastAsia="仿宋" w:cs="仿宋"/>
          <w:b/>
          <w:sz w:val="30"/>
          <w:szCs w:val="30"/>
        </w:rPr>
        <w:t>九、流拍处置规则</w:t>
      </w:r>
      <w:bookmarkEnd w:id="14"/>
    </w:p>
    <w:p w14:paraId="4E28EF7C">
      <w:pPr>
        <w:spacing w:before="120" w:after="120" w:line="288" w:lineRule="auto"/>
        <w:ind w:left="0" w:firstLine="600" w:firstLineChars="200"/>
        <w:jc w:val="left"/>
        <w:rPr>
          <w:rFonts w:hint="eastAsia" w:ascii="仿宋" w:hAnsi="仿宋" w:eastAsia="仿宋" w:cs="仿宋"/>
          <w:sz w:val="30"/>
          <w:szCs w:val="30"/>
        </w:rPr>
      </w:pPr>
      <w:r>
        <w:rPr>
          <w:rFonts w:hint="eastAsia" w:ascii="仿宋" w:hAnsi="仿宋" w:eastAsia="仿宋" w:cs="仿宋"/>
          <w:sz w:val="30"/>
          <w:szCs w:val="30"/>
        </w:rPr>
        <w:t>根据法院裁定认可的《破产财产变价方案》：</w:t>
      </w:r>
    </w:p>
    <w:p w14:paraId="63969F4B">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第一次拍卖流拍的，第二次拍卖起拍价酌情下调，降幅不超过前次起拍价的30%；</w:t>
      </w:r>
    </w:p>
    <w:p w14:paraId="7E78CBB7">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第二次拍卖流拍的，第三次拍卖起拍价酌情下调，降幅不超过第二次起拍价的20%；</w:t>
      </w:r>
    </w:p>
    <w:p w14:paraId="151EA6F0">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三次拍卖均流拍的，不再公开拍卖，以第三次拍卖保留价进行以物抵债。</w:t>
      </w:r>
    </w:p>
    <w:p w14:paraId="52D01A03">
      <w:pPr>
        <w:spacing w:before="320" w:after="120" w:line="288" w:lineRule="auto"/>
        <w:ind w:left="0" w:firstLine="602" w:firstLineChars="200"/>
        <w:jc w:val="left"/>
        <w:outlineLvl w:val="1"/>
        <w:rPr>
          <w:rFonts w:hint="eastAsia" w:ascii="仿宋" w:hAnsi="仿宋" w:eastAsia="仿宋" w:cs="仿宋"/>
          <w:sz w:val="30"/>
          <w:szCs w:val="30"/>
        </w:rPr>
      </w:pPr>
      <w:bookmarkStart w:id="15" w:name="heading_16"/>
      <w:r>
        <w:rPr>
          <w:rFonts w:hint="eastAsia" w:ascii="仿宋" w:hAnsi="仿宋" w:eastAsia="仿宋" w:cs="仿宋"/>
          <w:b/>
          <w:sz w:val="30"/>
          <w:szCs w:val="30"/>
        </w:rPr>
        <w:t>十、其他</w:t>
      </w:r>
      <w:bookmarkEnd w:id="15"/>
    </w:p>
    <w:p w14:paraId="1053CE53">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本次拍卖依据《企业破产法》及法院裁定认可的《破产财产变价方案》执行，不受《拍卖法》调整；</w:t>
      </w:r>
    </w:p>
    <w:p w14:paraId="13EC8925">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本次拍卖配套《破产财产处置竞买须知》，竞买人参拍即视为完全认可公告、须知全部条款；</w:t>
      </w:r>
    </w:p>
    <w:p w14:paraId="2628AB2F">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对标的权属有异议者，须开拍前3日向管理人提交书面证据，逾期不予受理；</w:t>
      </w:r>
    </w:p>
    <w:p w14:paraId="313359C5">
      <w:pPr>
        <w:numPr>
          <w:ilvl w:val="0"/>
          <w:numId w:val="0"/>
        </w:numPr>
        <w:spacing w:before="120" w:after="120" w:line="288"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拍卖公告发布当日同步在全国企业破产重整案件信息网挂网公示。</w:t>
      </w:r>
    </w:p>
    <w:p w14:paraId="2765466B">
      <w:pPr>
        <w:spacing w:before="120" w:after="120" w:line="288" w:lineRule="auto"/>
        <w:ind w:left="0"/>
        <w:jc w:val="left"/>
        <w:rPr>
          <w:rFonts w:hint="eastAsia" w:ascii="仿宋" w:hAnsi="仿宋" w:eastAsia="仿宋" w:cs="仿宋"/>
          <w:sz w:val="30"/>
          <w:szCs w:val="30"/>
        </w:rPr>
      </w:pPr>
    </w:p>
    <w:p w14:paraId="1602E56E">
      <w:pPr>
        <w:spacing w:before="120" w:after="120" w:line="288" w:lineRule="auto"/>
        <w:ind w:left="0"/>
        <w:jc w:val="left"/>
        <w:rPr>
          <w:rFonts w:hint="eastAsia" w:ascii="仿宋" w:hAnsi="仿宋" w:eastAsia="仿宋" w:cs="仿宋"/>
          <w:sz w:val="30"/>
          <w:szCs w:val="30"/>
        </w:rPr>
      </w:pPr>
    </w:p>
    <w:p w14:paraId="71B0E104">
      <w:pPr>
        <w:spacing w:before="120" w:after="120" w:line="288" w:lineRule="auto"/>
        <w:ind w:left="0" w:firstLine="2100" w:firstLineChars="700"/>
        <w:jc w:val="left"/>
        <w:rPr>
          <w:rFonts w:hint="eastAsia" w:ascii="仿宋" w:hAnsi="仿宋" w:eastAsia="仿宋" w:cs="仿宋"/>
          <w:sz w:val="30"/>
          <w:szCs w:val="30"/>
        </w:rPr>
      </w:pPr>
      <w:r>
        <w:rPr>
          <w:rFonts w:hint="eastAsia" w:ascii="仿宋" w:hAnsi="仿宋" w:eastAsia="仿宋" w:cs="仿宋"/>
          <w:sz w:val="30"/>
          <w:szCs w:val="30"/>
        </w:rPr>
        <w:t>贵州汉唐佳华酒店管理有限公司管理人</w:t>
      </w:r>
    </w:p>
    <w:p w14:paraId="0CE0D66A">
      <w:pPr>
        <w:spacing w:before="120" w:after="120" w:line="288" w:lineRule="auto"/>
        <w:ind w:left="0" w:firstLine="2100" w:firstLineChars="700"/>
        <w:jc w:val="left"/>
        <w:rPr>
          <w:rFonts w:hint="eastAsia" w:ascii="仿宋" w:hAnsi="仿宋" w:eastAsia="仿宋" w:cs="仿宋"/>
          <w:sz w:val="30"/>
          <w:szCs w:val="30"/>
        </w:rPr>
      </w:pPr>
      <w:r>
        <w:rPr>
          <w:rFonts w:hint="eastAsia" w:ascii="仿宋" w:hAnsi="仿宋" w:eastAsia="仿宋" w:cs="仿宋"/>
          <w:sz w:val="30"/>
          <w:szCs w:val="30"/>
          <w:lang w:val="en-US" w:eastAsia="zh-CN"/>
        </w:rPr>
        <w:t xml:space="preserve">       2026</w:t>
      </w:r>
      <w:r>
        <w:rPr>
          <w:rFonts w:hint="eastAsia" w:ascii="仿宋" w:hAnsi="仿宋" w:eastAsia="仿宋" w:cs="仿宋"/>
          <w:sz w:val="30"/>
          <w:szCs w:val="30"/>
        </w:rPr>
        <w:t>年</w:t>
      </w:r>
      <w:r>
        <w:rPr>
          <w:rFonts w:hint="eastAsia" w:ascii="仿宋" w:hAnsi="仿宋" w:eastAsia="仿宋" w:cs="仿宋"/>
          <w:sz w:val="30"/>
          <w:szCs w:val="30"/>
          <w:lang w:val="en-US" w:eastAsia="zh-CN"/>
        </w:rPr>
        <w:t>8</w:t>
      </w:r>
      <w:r>
        <w:rPr>
          <w:rFonts w:hint="eastAsia" w:ascii="仿宋" w:hAnsi="仿宋" w:eastAsia="仿宋" w:cs="仿宋"/>
          <w:sz w:val="30"/>
          <w:szCs w:val="30"/>
        </w:rPr>
        <w:t>月</w:t>
      </w:r>
      <w:r>
        <w:rPr>
          <w:rFonts w:hint="eastAsia" w:ascii="仿宋" w:hAnsi="仿宋" w:eastAsia="仿宋" w:cs="仿宋"/>
          <w:sz w:val="30"/>
          <w:szCs w:val="30"/>
          <w:lang w:val="en-US" w:eastAsia="zh-CN"/>
        </w:rPr>
        <w:t>7</w:t>
      </w:r>
      <w:r>
        <w:rPr>
          <w:rFonts w:hint="eastAsia" w:ascii="仿宋" w:hAnsi="仿宋" w:eastAsia="仿宋" w:cs="仿宋"/>
          <w:sz w:val="30"/>
          <w:szCs w:val="30"/>
        </w:rPr>
        <w:t>日</w:t>
      </w:r>
    </w:p>
    <w:p w14:paraId="15F2D9B4">
      <w:pPr>
        <w:pBdr>
          <w:bottom w:val="single" w:color="DEE0E3" w:sz="2" w:space="0"/>
          <w:between w:val="single" w:color="DEE0E3" w:sz="2" w:space="0"/>
        </w:pBdr>
        <w:spacing w:before="120" w:after="120" w:line="288" w:lineRule="auto"/>
        <w:ind w:left="0"/>
        <w:rPr>
          <w:rFonts w:hint="eastAsia" w:ascii="仿宋" w:hAnsi="仿宋" w:eastAsia="仿宋" w:cs="仿宋"/>
          <w:sz w:val="30"/>
          <w:szCs w:val="30"/>
        </w:rPr>
      </w:pPr>
    </w:p>
    <w:p w14:paraId="239E8A5A">
      <w:pPr>
        <w:spacing w:before="120" w:after="120" w:line="288" w:lineRule="auto"/>
        <w:ind w:left="0"/>
        <w:jc w:val="left"/>
        <w:rPr>
          <w:rFonts w:hint="eastAsia" w:ascii="仿宋" w:hAnsi="仿宋" w:eastAsia="仿宋" w:cs="仿宋"/>
          <w:sz w:val="30"/>
          <w:szCs w:val="30"/>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9A63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210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B1381A"/>
    <w:rsid w:val="14E503A6"/>
    <w:rsid w:val="1C2721B9"/>
    <w:rsid w:val="1F795A80"/>
    <w:rsid w:val="771357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2234</Words>
  <Characters>2587</Characters>
  <TotalTime>35</TotalTime>
  <ScaleCrop>false</ScaleCrop>
  <LinksUpToDate>false</LinksUpToDate>
  <CharactersWithSpaces>2594</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2026-07-18T11:00:00Z</dcterms:created>
  <dc:creator>Apache POI</dc:creator>
  <cp:lastModifiedBy>陈旭琳18984843997</cp:lastModifiedBy>
  <dcterms:modified xsi:type="dcterms:W3CDTF">2026-08-07T12:17:51Z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{"Label":"1","ContentProducer":"001191110102MACQD9K64010000","ProduceID":"7663821102007831827","ReservedCode1":"","ContentPropagator":"","PropagateID":"","ReservedCode2":""}</vt:lpwstr>
  </property>
  <property fmtid="{D5CDD505-2E9C-101B-9397-08002B2CF9AE}" pid="3" name="KSOProductBuildVer">
    <vt:lpwstr>2052-12.1.0.22529</vt:lpwstr>
  </property>
  <property fmtid="{D5CDD505-2E9C-101B-9397-08002B2CF9AE}" pid="4" name="ICV">
    <vt:lpwstr>5A990C6E22444C40A809605985C155D9_13</vt:lpwstr>
  </property>
  <property fmtid="{D5CDD505-2E9C-101B-9397-08002B2CF9AE}" pid="5" name="KSOTemplateDocerSaveRecord">
    <vt:lpwstr>eyJoZGlkIjoiZDJjM2EwYjhhNjgzZDlmN2JlZmRiNWY5MDY0ZjU0MjIiLCJ1c2VySWQiOiIyNjk0OTUzNiJ9</vt:lpwstr>
  </property>
</Properties>
</file>