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E03B8">
      <w:pPr>
        <w:pStyle w:val="3"/>
        <w:spacing w:line="540" w:lineRule="exact"/>
        <w:jc w:val="center"/>
        <w:rPr>
          <w:rFonts w:hint="eastAsia" w:asciiTheme="minorEastAsia" w:hAnsiTheme="minorEastAsia" w:cstheme="minorEastAsia"/>
          <w:bCs/>
          <w:sz w:val="44"/>
          <w:szCs w:val="44"/>
        </w:rPr>
      </w:pPr>
      <w:r>
        <w:rPr>
          <w:rFonts w:hint="eastAsia" w:asciiTheme="minorEastAsia" w:hAnsiTheme="minorEastAsia" w:cstheme="minorEastAsia"/>
          <w:bCs/>
          <w:sz w:val="44"/>
          <w:szCs w:val="44"/>
        </w:rPr>
        <w:t>告知书</w:t>
      </w:r>
    </w:p>
    <w:p w14:paraId="7401EA52">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right"/>
        <w:textAlignment w:val="auto"/>
        <w:rPr>
          <w:rFonts w:hint="eastAsia" w:ascii="仿宋_GB2312" w:hAnsi="华文仿宋" w:eastAsia="仿宋_GB2312" w:cs="Times New Roman"/>
          <w:lang w:val="en-US" w:eastAsia="zh-CN"/>
        </w:rPr>
      </w:pPr>
      <w:r>
        <w:rPr>
          <w:rFonts w:hint="eastAsia" w:ascii="仿宋_GB2312" w:hAnsi="华文仿宋" w:eastAsia="仿宋_GB2312" w:cs="Times New Roman"/>
          <w:lang w:val="en-US" w:eastAsia="zh-CN"/>
        </w:rPr>
        <w:t>锦上添花破管字第17号</w:t>
      </w:r>
    </w:p>
    <w:p w14:paraId="1E1C380A">
      <w:pPr>
        <w:keepNext w:val="0"/>
        <w:keepLines w:val="0"/>
        <w:pageBreakBefore w:val="0"/>
        <w:widowControl w:val="0"/>
        <w:numPr>
          <w:numId w:val="0"/>
        </w:numPr>
        <w:kinsoku/>
        <w:wordWrap/>
        <w:overflowPunct/>
        <w:topLinePunct w:val="0"/>
        <w:autoSpaceDE/>
        <w:autoSpaceDN/>
        <w:bidi w:val="0"/>
        <w:adjustRightInd/>
        <w:snapToGrid/>
        <w:spacing w:line="360" w:lineRule="auto"/>
        <w:textAlignment w:val="auto"/>
        <w:rPr>
          <w:rFonts w:hint="eastAsia" w:ascii="仿宋_GB2312" w:hAnsi="华文仿宋" w:eastAsia="仿宋_GB2312" w:cs="Times New Roman"/>
        </w:rPr>
      </w:pPr>
      <w:r>
        <w:rPr>
          <w:rFonts w:hint="eastAsia" w:ascii="仿宋_GB2312" w:hAnsi="华文仿宋" w:eastAsia="仿宋_GB2312" w:cs="Times New Roman"/>
          <w:lang w:eastAsia="zh-CN"/>
        </w:rPr>
        <w:t>泉州锦上添花餐饮管理有限公司</w:t>
      </w:r>
      <w:r>
        <w:rPr>
          <w:rFonts w:hint="eastAsia" w:ascii="仿宋_GB2312" w:hAnsi="华文仿宋" w:eastAsia="仿宋_GB2312" w:cs="Times New Roman"/>
        </w:rPr>
        <w:t>及其法定代表人、股东：</w:t>
      </w:r>
    </w:p>
    <w:p w14:paraId="75F1DB9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rPr>
      </w:pPr>
      <w:r>
        <w:rPr>
          <w:rFonts w:hint="eastAsia" w:ascii="仿宋" w:hAnsi="仿宋" w:eastAsia="仿宋" w:cs="仿宋"/>
          <w:b w:val="0"/>
          <w:kern w:val="2"/>
          <w:sz w:val="28"/>
          <w:szCs w:val="28"/>
          <w:lang w:eastAsia="zh-CN" w:bidi="ar-SA"/>
        </w:rPr>
        <w:t>2026年4月24日，福建省泉州市中级人民法院作出（2026）闽05破申55号民事裁定书，裁定受理郭亚强对泉州锦上添花餐饮管理有限公司（以下简称“债务人”或“锦上添花公司”）破产清算申请，并于同日作出（2026）闽05破申55号之一民事裁定书，裁定本案交泉州市泉港区人民法院审理。2026年5月6日，泉州市泉港区人民法院作出（2026）闽0505破2号决定书，指定福建志立律师事务所担任泉州锦上添花餐饮管理有限公司管理人（以下简称“管理人”）</w:t>
      </w:r>
      <w:r>
        <w:rPr>
          <w:rFonts w:hint="eastAsia" w:ascii="仿宋" w:hAnsi="仿宋" w:eastAsia="仿宋" w:cs="仿宋"/>
        </w:rPr>
        <w:t>。</w:t>
      </w:r>
    </w:p>
    <w:p w14:paraId="2CFC1CA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rPr>
      </w:pPr>
      <w:r>
        <w:rPr>
          <w:rFonts w:hint="eastAsia" w:ascii="仿宋" w:hAnsi="仿宋" w:eastAsia="仿宋" w:cs="仿宋"/>
          <w:color w:val="auto"/>
          <w:sz w:val="28"/>
          <w:szCs w:val="28"/>
          <w:highlight w:val="none"/>
          <w:lang w:val="en-US" w:eastAsia="zh-CN"/>
        </w:rPr>
        <w:t>截至2026年6月18日，共有3户债权人向管理人申报了4笔债权，申报总金额为492,053.61元</w:t>
      </w:r>
      <w:r>
        <w:rPr>
          <w:rFonts w:hint="eastAsia" w:ascii="仿宋" w:hAnsi="仿宋" w:eastAsia="仿宋" w:cs="仿宋"/>
        </w:rPr>
        <w:t>。经初步审查，</w:t>
      </w:r>
      <w:r>
        <w:rPr>
          <w:rFonts w:hint="eastAsia" w:ascii="仿宋" w:hAnsi="仿宋" w:eastAsia="仿宋" w:cs="仿宋"/>
          <w:color w:val="auto"/>
          <w:sz w:val="28"/>
          <w:szCs w:val="28"/>
          <w:highlight w:val="none"/>
          <w:lang w:val="en-US" w:eastAsia="zh-CN"/>
        </w:rPr>
        <w:t>管理人全部确认及部分确认的债权为3户4笔，债权金额为490,355.75元</w:t>
      </w:r>
      <w:r>
        <w:rPr>
          <w:rFonts w:hint="eastAsia" w:ascii="仿宋" w:hAnsi="仿宋" w:eastAsia="仿宋" w:cs="仿宋"/>
        </w:rPr>
        <w:t>。管理人编制了《</w:t>
      </w:r>
      <w:r>
        <w:rPr>
          <w:rFonts w:hint="eastAsia" w:ascii="仿宋" w:hAnsi="仿宋" w:eastAsia="仿宋" w:cs="仿宋"/>
          <w:lang w:eastAsia="zh-CN"/>
        </w:rPr>
        <w:t>泉州锦上添花餐饮管理有限公司</w:t>
      </w:r>
      <w:r>
        <w:rPr>
          <w:rFonts w:hint="eastAsia" w:ascii="仿宋" w:hAnsi="仿宋" w:eastAsia="仿宋" w:cs="仿宋"/>
        </w:rPr>
        <w:t>债权表》并交第一次债权人会议核查。</w:t>
      </w:r>
    </w:p>
    <w:p w14:paraId="7119A83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b/>
          <w:bCs/>
          <w:sz w:val="30"/>
          <w:szCs w:val="30"/>
          <w:lang w:eastAsia="zh-Hans"/>
        </w:rPr>
      </w:pPr>
      <w:r>
        <w:rPr>
          <w:rFonts w:hint="eastAsia" w:ascii="仿宋" w:hAnsi="仿宋" w:eastAsia="仿宋" w:cs="仿宋"/>
        </w:rPr>
        <w:t>根据《中华人民共和国企业破产法》第五十八条以及相关法律规定，债务人应当对管理人编制的《债权表》进行核对，有异议的应当说明具体理由。故管理人正式告知你，请你务必于收到本《告知书》之日起</w:t>
      </w:r>
      <w:r>
        <w:rPr>
          <w:rFonts w:hint="eastAsia" w:ascii="仿宋" w:hAnsi="仿宋" w:eastAsia="仿宋" w:cs="仿宋"/>
          <w:lang w:val="en-US" w:eastAsia="zh-CN"/>
        </w:rPr>
        <w:t>7</w:t>
      </w:r>
      <w:r>
        <w:rPr>
          <w:rFonts w:hint="eastAsia" w:ascii="仿宋" w:hAnsi="仿宋" w:eastAsia="仿宋" w:cs="仿宋"/>
        </w:rPr>
        <w:t>日内完成债权核对，并按要求填写《债务人债权核对表》并</w:t>
      </w:r>
      <w:r>
        <w:rPr>
          <w:rFonts w:hint="eastAsia" w:ascii="仿宋" w:hAnsi="仿宋" w:eastAsia="仿宋" w:cs="仿宋"/>
          <w:lang w:eastAsia="zh-Hans"/>
        </w:rPr>
        <w:t>签字确认后邮寄给管理人</w:t>
      </w:r>
      <w:r>
        <w:rPr>
          <w:rFonts w:hint="eastAsia" w:ascii="仿宋" w:hAnsi="仿宋" w:eastAsia="仿宋" w:cs="仿宋"/>
          <w:b/>
          <w:bCs/>
          <w:sz w:val="30"/>
          <w:szCs w:val="30"/>
          <w:lang w:eastAsia="zh-Hans"/>
        </w:rPr>
        <w:t>（管理人联系方式：柯曾国15960710050、刘烨含17689352158；邮寄地址：福建省泉港区温陵南路大洋百货21楼福建志立律师事务所）</w:t>
      </w:r>
      <w:r>
        <w:rPr>
          <w:rFonts w:hint="eastAsia" w:ascii="仿宋" w:hAnsi="仿宋" w:eastAsia="仿宋" w:cs="仿宋"/>
          <w:lang w:eastAsia="zh-Hans"/>
        </w:rPr>
        <w:t>；逾期未提交的，视为同意管理人的审查意见。</w:t>
      </w:r>
    </w:p>
    <w:p w14:paraId="5B41CC4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rPr>
      </w:pPr>
      <w:r>
        <w:rPr>
          <w:rFonts w:hint="eastAsia" w:ascii="仿宋" w:hAnsi="仿宋" w:eastAsia="仿宋" w:cs="仿宋"/>
        </w:rPr>
        <w:t>特此函告。</w:t>
      </w:r>
    </w:p>
    <w:p w14:paraId="45C241C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仿宋" w:hAnsi="仿宋" w:eastAsia="仿宋" w:cs="仿宋"/>
        </w:rPr>
      </w:pPr>
      <w:r>
        <w:rPr>
          <w:rFonts w:hint="eastAsia" w:ascii="仿宋" w:hAnsi="仿宋" w:eastAsia="仿宋" w:cs="仿宋"/>
          <w:lang w:eastAsia="zh-CN"/>
        </w:rPr>
        <w:t>泉州锦上添花餐饮管理有限公司</w:t>
      </w:r>
      <w:r>
        <w:rPr>
          <w:rFonts w:hint="eastAsia" w:ascii="仿宋" w:hAnsi="仿宋" w:eastAsia="仿宋" w:cs="仿宋"/>
        </w:rPr>
        <w:t>管理人</w:t>
      </w:r>
    </w:p>
    <w:p w14:paraId="549E3CF8">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仿宋" w:hAnsi="仿宋" w:eastAsia="仿宋" w:cs="仿宋"/>
          <w:lang w:eastAsia="zh-Hans"/>
        </w:rPr>
      </w:pPr>
      <w:r>
        <w:rPr>
          <w:rFonts w:hint="eastAsia" w:ascii="仿宋" w:hAnsi="仿宋" w:eastAsia="仿宋" w:cs="仿宋"/>
          <w:lang w:eastAsia="zh-Hans"/>
        </w:rPr>
        <w:t>二〇</w:t>
      </w:r>
      <w:r>
        <w:rPr>
          <w:rFonts w:hint="eastAsia" w:ascii="仿宋" w:hAnsi="仿宋" w:eastAsia="仿宋" w:cs="仿宋"/>
          <w:lang w:val="en-US" w:eastAsia="zh-CN"/>
        </w:rPr>
        <w:t>二六年六</w:t>
      </w:r>
      <w:r>
        <w:rPr>
          <w:rFonts w:hint="eastAsia" w:ascii="仿宋" w:hAnsi="仿宋" w:eastAsia="仿宋" w:cs="仿宋"/>
        </w:rPr>
        <w:t>月</w:t>
      </w:r>
      <w:r>
        <w:rPr>
          <w:rFonts w:hint="eastAsia" w:ascii="仿宋" w:hAnsi="仿宋" w:eastAsia="仿宋" w:cs="仿宋"/>
          <w:lang w:eastAsia="zh-CN"/>
        </w:rPr>
        <w:t>二十四</w:t>
      </w:r>
      <w:r>
        <w:rPr>
          <w:rFonts w:hint="eastAsia" w:ascii="仿宋" w:hAnsi="仿宋" w:eastAsia="仿宋" w:cs="仿宋"/>
          <w:lang w:eastAsia="zh-Hans"/>
        </w:rPr>
        <w:t>日</w:t>
      </w:r>
    </w:p>
    <w:p w14:paraId="005DF69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rPr>
      </w:pPr>
      <w:r>
        <w:rPr>
          <w:rFonts w:hint="eastAsia" w:ascii="仿宋" w:hAnsi="仿宋" w:eastAsia="仿宋" w:cs="仿宋"/>
          <w:lang w:eastAsia="zh-Hans"/>
        </w:rPr>
        <w:t>附：</w:t>
      </w:r>
    </w:p>
    <w:p w14:paraId="3F795E9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lang w:eastAsia="zh-Hans"/>
        </w:rPr>
      </w:pPr>
      <w:r>
        <w:rPr>
          <w:rFonts w:hint="eastAsia" w:ascii="仿宋" w:hAnsi="仿宋" w:eastAsia="仿宋" w:cs="仿宋"/>
        </w:rPr>
        <w:t>1.</w:t>
      </w:r>
      <w:r>
        <w:rPr>
          <w:rFonts w:hint="eastAsia" w:ascii="仿宋" w:hAnsi="仿宋" w:eastAsia="仿宋" w:cs="仿宋"/>
          <w:lang w:eastAsia="zh-Hans"/>
        </w:rPr>
        <w:t>《</w:t>
      </w:r>
      <w:r>
        <w:rPr>
          <w:rFonts w:hint="eastAsia" w:ascii="仿宋" w:hAnsi="仿宋" w:eastAsia="仿宋" w:cs="仿宋"/>
          <w:lang w:eastAsia="zh-CN"/>
        </w:rPr>
        <w:t>泉州锦上添花餐饮管理有限公司</w:t>
      </w:r>
      <w:r>
        <w:rPr>
          <w:rFonts w:hint="eastAsia" w:ascii="仿宋" w:hAnsi="仿宋" w:eastAsia="仿宋" w:cs="仿宋"/>
          <w:lang w:eastAsia="zh-Hans"/>
        </w:rPr>
        <w:t>债权表》</w:t>
      </w:r>
    </w:p>
    <w:p w14:paraId="3D5709F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eastAsia="zh-Hans"/>
        </w:rPr>
        <w:t>《债务人债权核对表》</w:t>
      </w:r>
    </w:p>
    <w:p w14:paraId="3DA15AB7">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lang w:eastAsia="zh-Hans"/>
        </w:rPr>
      </w:pPr>
    </w:p>
    <w:p w14:paraId="369ACFA0">
      <w:pPr>
        <w:widowControl/>
        <w:jc w:val="left"/>
        <w:rPr>
          <w:rFonts w:hint="eastAsia" w:ascii="仿宋" w:hAnsi="仿宋" w:eastAsia="仿宋" w:cs="仿宋"/>
          <w:lang w:eastAsia="zh-Hans"/>
        </w:rPr>
      </w:pPr>
      <w:r>
        <w:rPr>
          <w:rFonts w:hint="eastAsia" w:ascii="仿宋" w:hAnsi="仿宋" w:eastAsia="仿宋" w:cs="仿宋"/>
          <w:lang w:eastAsia="zh-Hans"/>
        </w:rPr>
        <w:br w:type="page"/>
      </w:r>
    </w:p>
    <w:p w14:paraId="0AF91B42">
      <w:pPr>
        <w:spacing w:line="360" w:lineRule="auto"/>
        <w:ind w:firstLine="560" w:firstLineChars="200"/>
        <w:rPr>
          <w:rFonts w:hint="eastAsia" w:ascii="仿宋" w:hAnsi="仿宋" w:eastAsia="仿宋" w:cs="仿宋"/>
          <w:lang w:eastAsia="zh-Hans"/>
        </w:rPr>
        <w:sectPr>
          <w:headerReference r:id="rId3" w:type="default"/>
          <w:pgSz w:w="11906" w:h="16838"/>
          <w:pgMar w:top="1440" w:right="1800" w:bottom="1440" w:left="1800" w:header="851" w:footer="992" w:gutter="0"/>
          <w:cols w:space="425" w:num="1"/>
          <w:docGrid w:type="lines" w:linePitch="312" w:charSpace="0"/>
        </w:sectPr>
      </w:pPr>
    </w:p>
    <w:p w14:paraId="76475B01">
      <w:pPr>
        <w:keepNext w:val="0"/>
        <w:keepLines w:val="0"/>
        <w:widowControl/>
        <w:numPr>
          <w:ilvl w:val="0"/>
          <w:numId w:val="0"/>
        </w:numPr>
        <w:suppressLineNumbers w:val="0"/>
        <w:jc w:val="center"/>
        <w:textAlignment w:val="center"/>
        <w:outlineLvl w:val="0"/>
        <w:rPr>
          <w:rFonts w:hint="eastAsia" w:ascii="黑体" w:hAnsi="黑体" w:eastAsia="黑体" w:cs="黑体"/>
          <w:b/>
          <w:i w:val="0"/>
          <w:color w:val="auto"/>
          <w:kern w:val="0"/>
          <w:sz w:val="40"/>
          <w:szCs w:val="40"/>
          <w:highlight w:val="none"/>
          <w:u w:val="none"/>
          <w:lang w:val="en-US" w:eastAsia="zh-CN" w:bidi="ar"/>
        </w:rPr>
      </w:pPr>
      <w:bookmarkStart w:id="0" w:name="_Toc304023240"/>
      <w:bookmarkStart w:id="1" w:name="_Toc508174348"/>
      <w:bookmarkStart w:id="2" w:name="_Toc24279"/>
      <w:bookmarkStart w:id="3" w:name="_Toc24604"/>
      <w:bookmarkStart w:id="4" w:name="_Toc25856"/>
      <w:bookmarkStart w:id="5" w:name="_Toc3258"/>
      <w:bookmarkStart w:id="6" w:name="_Toc24495"/>
      <w:bookmarkStart w:id="7" w:name="_Toc31715"/>
      <w:bookmarkStart w:id="8" w:name="_Toc12953"/>
      <w:bookmarkStart w:id="9" w:name="_Toc747"/>
      <w:bookmarkStart w:id="10" w:name="_Toc15322"/>
      <w:bookmarkStart w:id="11" w:name="_Toc2666"/>
      <w:bookmarkStart w:id="12" w:name="_Toc25468"/>
      <w:r>
        <w:rPr>
          <w:rFonts w:hint="eastAsia" w:ascii="黑体" w:hAnsi="黑体" w:eastAsia="黑体" w:cs="黑体"/>
          <w:b/>
          <w:i w:val="0"/>
          <w:color w:val="auto"/>
          <w:kern w:val="0"/>
          <w:sz w:val="40"/>
          <w:szCs w:val="40"/>
          <w:highlight w:val="none"/>
          <w:u w:val="none"/>
          <w:lang w:val="en-US" w:eastAsia="zh-CN" w:bidi="ar"/>
        </w:rPr>
        <w:t>泉州锦上添花餐饮管理有限公司债权表</w:t>
      </w:r>
      <w:bookmarkEnd w:id="0"/>
    </w:p>
    <w:p w14:paraId="6507B071">
      <w:pPr>
        <w:keepNext w:val="0"/>
        <w:keepLines w:val="0"/>
        <w:widowControl/>
        <w:numPr>
          <w:ilvl w:val="0"/>
          <w:numId w:val="0"/>
        </w:numPr>
        <w:suppressLineNumbers w:val="0"/>
        <w:jc w:val="center"/>
        <w:textAlignment w:val="center"/>
        <w:outlineLvl w:val="9"/>
        <w:rPr>
          <w:rFonts w:hint="eastAsia" w:ascii="仿宋" w:hAnsi="仿宋" w:eastAsia="仿宋" w:cs="仿宋"/>
          <w:b w:val="0"/>
          <w:bCs/>
          <w:i w:val="0"/>
          <w:color w:val="auto"/>
          <w:kern w:val="0"/>
          <w:sz w:val="24"/>
          <w:szCs w:val="24"/>
          <w:highlight w:val="none"/>
          <w:u w:val="none"/>
          <w:lang w:val="en-US" w:eastAsia="zh-CN" w:bidi="ar"/>
        </w:rPr>
      </w:pPr>
      <w:r>
        <w:rPr>
          <w:rFonts w:hint="eastAsia" w:ascii="仿宋" w:hAnsi="仿宋" w:eastAsia="仿宋" w:cs="仿宋"/>
          <w:b w:val="0"/>
          <w:bCs/>
          <w:i w:val="0"/>
          <w:color w:val="auto"/>
          <w:kern w:val="0"/>
          <w:sz w:val="24"/>
          <w:szCs w:val="24"/>
          <w:highlight w:val="none"/>
          <w:u w:val="none"/>
          <w:lang w:val="en-US" w:eastAsia="zh-CN" w:bidi="ar"/>
        </w:rPr>
        <w:t>（截止日期：2026年6月18日；单位：人民币元）</w:t>
      </w:r>
    </w:p>
    <w:p w14:paraId="3B629668">
      <w:pPr>
        <w:keepNext w:val="0"/>
        <w:keepLines w:val="0"/>
        <w:widowControl/>
        <w:numPr>
          <w:ilvl w:val="0"/>
          <w:numId w:val="0"/>
        </w:numPr>
        <w:suppressLineNumbers w:val="0"/>
        <w:jc w:val="left"/>
        <w:textAlignment w:val="center"/>
        <w:rPr>
          <w:rFonts w:hint="eastAsia" w:ascii="仿宋" w:hAnsi="仿宋" w:eastAsia="仿宋" w:cs="仿宋"/>
          <w:b/>
          <w:i w:val="0"/>
          <w:color w:val="auto"/>
          <w:kern w:val="0"/>
          <w:sz w:val="28"/>
          <w:szCs w:val="28"/>
          <w:highlight w:val="none"/>
          <w:u w:val="none"/>
          <w:lang w:val="en-US" w:eastAsia="zh-CN" w:bidi="ar"/>
        </w:rPr>
      </w:pPr>
    </w:p>
    <w:tbl>
      <w:tblPr>
        <w:tblStyle w:val="6"/>
        <w:tblW w:w="15213" w:type="dxa"/>
        <w:jc w:val="center"/>
        <w:tblLayout w:type="fixed"/>
        <w:tblCellMar>
          <w:top w:w="0" w:type="dxa"/>
          <w:left w:w="0" w:type="dxa"/>
          <w:bottom w:w="0" w:type="dxa"/>
          <w:right w:w="0" w:type="dxa"/>
        </w:tblCellMar>
      </w:tblPr>
      <w:tblGrid>
        <w:gridCol w:w="548"/>
        <w:gridCol w:w="1210"/>
        <w:gridCol w:w="1597"/>
        <w:gridCol w:w="1503"/>
        <w:gridCol w:w="447"/>
        <w:gridCol w:w="1587"/>
        <w:gridCol w:w="1366"/>
        <w:gridCol w:w="1434"/>
        <w:gridCol w:w="550"/>
        <w:gridCol w:w="1636"/>
        <w:gridCol w:w="506"/>
        <w:gridCol w:w="495"/>
        <w:gridCol w:w="2334"/>
      </w:tblGrid>
      <w:tr w14:paraId="1992B039">
        <w:tblPrEx>
          <w:tblCellMar>
            <w:top w:w="0" w:type="dxa"/>
            <w:left w:w="0" w:type="dxa"/>
            <w:bottom w:w="0" w:type="dxa"/>
            <w:right w:w="0" w:type="dxa"/>
          </w:tblCellMar>
        </w:tblPrEx>
        <w:trPr>
          <w:trHeight w:val="560" w:hRule="atLeast"/>
          <w:tblHeader/>
          <w:jc w:val="center"/>
        </w:trPr>
        <w:tc>
          <w:tcPr>
            <w:tcW w:w="1758" w:type="dxa"/>
            <w:gridSpan w:val="2"/>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2A21CD5F">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债权人信息</w:t>
            </w:r>
          </w:p>
        </w:tc>
        <w:tc>
          <w:tcPr>
            <w:tcW w:w="5134" w:type="dxa"/>
            <w:gridSpan w:val="4"/>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188B5CA9">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申报情况</w:t>
            </w:r>
          </w:p>
        </w:tc>
        <w:tc>
          <w:tcPr>
            <w:tcW w:w="5987" w:type="dxa"/>
            <w:gridSpan w:val="6"/>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358EDC32">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审查情况</w:t>
            </w:r>
          </w:p>
        </w:tc>
        <w:tc>
          <w:tcPr>
            <w:tcW w:w="2334" w:type="dxa"/>
            <w:vMerge w:val="restart"/>
            <w:tcBorders>
              <w:top w:val="single" w:color="000000" w:sz="4" w:space="0"/>
              <w:left w:val="single" w:color="000000" w:sz="4" w:space="0"/>
              <w:right w:val="single" w:color="000000" w:sz="4" w:space="0"/>
            </w:tcBorders>
            <w:shd w:val="clear" w:color="auto" w:fill="7F7F7F"/>
            <w:noWrap w:val="0"/>
            <w:tcMar>
              <w:top w:w="15" w:type="dxa"/>
              <w:left w:w="15" w:type="dxa"/>
              <w:right w:w="15" w:type="dxa"/>
            </w:tcMar>
            <w:vAlign w:val="center"/>
          </w:tcPr>
          <w:p w14:paraId="717C76F1">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kern w:val="0"/>
                <w:sz w:val="21"/>
                <w:szCs w:val="21"/>
                <w:highlight w:val="none"/>
                <w:u w:val="none"/>
                <w:lang w:val="en-US" w:eastAsia="zh-CN" w:bidi="ar"/>
              </w:rPr>
            </w:pPr>
            <w:r>
              <w:rPr>
                <w:rFonts w:hint="eastAsia" w:ascii="仿宋" w:hAnsi="仿宋" w:eastAsia="仿宋" w:cs="仿宋"/>
                <w:b/>
                <w:i w:val="0"/>
                <w:color w:val="auto"/>
                <w:kern w:val="0"/>
                <w:sz w:val="21"/>
                <w:szCs w:val="21"/>
                <w:highlight w:val="none"/>
                <w:u w:val="none"/>
                <w:lang w:val="en-US" w:eastAsia="zh-CN" w:bidi="ar"/>
              </w:rPr>
              <w:t>备注</w:t>
            </w:r>
          </w:p>
        </w:tc>
      </w:tr>
      <w:tr w14:paraId="6574FDB2">
        <w:tblPrEx>
          <w:tblCellMar>
            <w:top w:w="0" w:type="dxa"/>
            <w:left w:w="0" w:type="dxa"/>
            <w:bottom w:w="0" w:type="dxa"/>
            <w:right w:w="0" w:type="dxa"/>
          </w:tblCellMar>
        </w:tblPrEx>
        <w:trPr>
          <w:trHeight w:val="654" w:hRule="atLeast"/>
          <w:tblHeader/>
          <w:jc w:val="center"/>
        </w:trPr>
        <w:tc>
          <w:tcPr>
            <w:tcW w:w="548"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4F1F0D97">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编号</w:t>
            </w:r>
          </w:p>
        </w:tc>
        <w:tc>
          <w:tcPr>
            <w:tcW w:w="1210"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2DB4FFAA">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申报人名称</w:t>
            </w:r>
          </w:p>
        </w:tc>
        <w:tc>
          <w:tcPr>
            <w:tcW w:w="1597"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08D75A96">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本金</w:t>
            </w:r>
          </w:p>
        </w:tc>
        <w:tc>
          <w:tcPr>
            <w:tcW w:w="1503"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69BC0D26">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利息</w:t>
            </w:r>
          </w:p>
        </w:tc>
        <w:tc>
          <w:tcPr>
            <w:tcW w:w="447"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1647CC3B">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其他</w:t>
            </w:r>
          </w:p>
        </w:tc>
        <w:tc>
          <w:tcPr>
            <w:tcW w:w="1587"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66C87194">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总额</w:t>
            </w:r>
          </w:p>
        </w:tc>
        <w:tc>
          <w:tcPr>
            <w:tcW w:w="1366"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6F1FC71A">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本金</w:t>
            </w:r>
          </w:p>
        </w:tc>
        <w:tc>
          <w:tcPr>
            <w:tcW w:w="1434"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71C7A4F8">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利息</w:t>
            </w:r>
          </w:p>
        </w:tc>
        <w:tc>
          <w:tcPr>
            <w:tcW w:w="550"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5766FDAD">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其他</w:t>
            </w:r>
          </w:p>
        </w:tc>
        <w:tc>
          <w:tcPr>
            <w:tcW w:w="1636"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2196DB2C">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审定债权</w:t>
            </w:r>
          </w:p>
        </w:tc>
        <w:tc>
          <w:tcPr>
            <w:tcW w:w="506"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6A277F55">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审查意见</w:t>
            </w:r>
          </w:p>
        </w:tc>
        <w:tc>
          <w:tcPr>
            <w:tcW w:w="495"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00A75462">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sz w:val="21"/>
                <w:szCs w:val="21"/>
                <w:highlight w:val="none"/>
                <w:u w:val="none"/>
              </w:rPr>
            </w:pPr>
            <w:r>
              <w:rPr>
                <w:rFonts w:hint="eastAsia" w:ascii="仿宋" w:hAnsi="仿宋" w:eastAsia="仿宋" w:cs="仿宋"/>
                <w:b/>
                <w:i w:val="0"/>
                <w:color w:val="auto"/>
                <w:kern w:val="0"/>
                <w:sz w:val="21"/>
                <w:szCs w:val="21"/>
                <w:highlight w:val="none"/>
                <w:u w:val="none"/>
                <w:lang w:val="en-US" w:eastAsia="zh-CN" w:bidi="ar"/>
              </w:rPr>
              <w:t>债权性质</w:t>
            </w:r>
          </w:p>
        </w:tc>
        <w:tc>
          <w:tcPr>
            <w:tcW w:w="2334" w:type="dxa"/>
            <w:vMerge w:val="continue"/>
            <w:tcBorders>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14:paraId="3C8467E3">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auto"/>
                <w:kern w:val="0"/>
                <w:sz w:val="21"/>
                <w:szCs w:val="21"/>
                <w:highlight w:val="none"/>
                <w:u w:val="none"/>
                <w:lang w:val="en-US" w:eastAsia="zh-CN" w:bidi="ar"/>
              </w:rPr>
            </w:pPr>
          </w:p>
        </w:tc>
      </w:tr>
      <w:tr w14:paraId="4343316A">
        <w:tblPrEx>
          <w:tblCellMar>
            <w:top w:w="0" w:type="dxa"/>
            <w:left w:w="0" w:type="dxa"/>
            <w:bottom w:w="0" w:type="dxa"/>
            <w:right w:w="0" w:type="dxa"/>
          </w:tblCellMar>
        </w:tblPrEx>
        <w:trPr>
          <w:trHeight w:val="9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E3454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9B55A8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郭亚强</w:t>
            </w:r>
          </w:p>
        </w:tc>
        <w:tc>
          <w:tcPr>
            <w:tcW w:w="159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64A565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7,000.00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B37BB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2B233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C0E00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7,000.00</w:t>
            </w:r>
          </w:p>
        </w:tc>
        <w:tc>
          <w:tcPr>
            <w:tcW w:w="136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7EC35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7,000.00</w:t>
            </w:r>
          </w:p>
        </w:tc>
        <w:tc>
          <w:tcPr>
            <w:tcW w:w="14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AC85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0F298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4EAF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7,000.00</w:t>
            </w:r>
          </w:p>
        </w:tc>
        <w:tc>
          <w:tcPr>
            <w:tcW w:w="50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8A36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全部确认</w:t>
            </w:r>
          </w:p>
        </w:tc>
        <w:tc>
          <w:tcPr>
            <w:tcW w:w="4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0641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普通债权</w:t>
            </w:r>
          </w:p>
        </w:tc>
        <w:tc>
          <w:tcPr>
            <w:tcW w:w="23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0097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依据生效法律文书对债权予以确认</w:t>
            </w:r>
          </w:p>
        </w:tc>
      </w:tr>
      <w:tr w14:paraId="662F3265">
        <w:tblPrEx>
          <w:tblCellMar>
            <w:top w:w="0" w:type="dxa"/>
            <w:left w:w="0" w:type="dxa"/>
            <w:bottom w:w="0" w:type="dxa"/>
            <w:right w:w="0" w:type="dxa"/>
          </w:tblCellMar>
        </w:tblPrEx>
        <w:trPr>
          <w:trHeight w:val="9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1CF18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17267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泉州市万星物业管理有限公司</w:t>
            </w:r>
          </w:p>
        </w:tc>
        <w:tc>
          <w:tcPr>
            <w:tcW w:w="159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5BF36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47,247.50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71F10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4E754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9BB323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47,247.50</w:t>
            </w:r>
          </w:p>
        </w:tc>
        <w:tc>
          <w:tcPr>
            <w:tcW w:w="136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18B6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47,247.50</w:t>
            </w:r>
          </w:p>
        </w:tc>
        <w:tc>
          <w:tcPr>
            <w:tcW w:w="14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3496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4A90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29FD8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47,247.50</w:t>
            </w:r>
          </w:p>
        </w:tc>
        <w:tc>
          <w:tcPr>
            <w:tcW w:w="50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6B97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全部确认</w:t>
            </w:r>
          </w:p>
        </w:tc>
        <w:tc>
          <w:tcPr>
            <w:tcW w:w="4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3206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普通债权</w:t>
            </w:r>
          </w:p>
        </w:tc>
        <w:tc>
          <w:tcPr>
            <w:tcW w:w="23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ED916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依据生效法律文书对债权予以确认</w:t>
            </w:r>
          </w:p>
        </w:tc>
      </w:tr>
      <w:tr w14:paraId="036D44A1">
        <w:tblPrEx>
          <w:tblCellMar>
            <w:top w:w="0" w:type="dxa"/>
            <w:left w:w="0" w:type="dxa"/>
            <w:bottom w:w="0" w:type="dxa"/>
            <w:right w:w="0" w:type="dxa"/>
          </w:tblCellMar>
        </w:tblPrEx>
        <w:trPr>
          <w:trHeight w:val="9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9DF7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BE074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泉州市志豪餐饮管理有限公司</w:t>
            </w:r>
          </w:p>
        </w:tc>
        <w:tc>
          <w:tcPr>
            <w:tcW w:w="159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F6C80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378,821.50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08C59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21,926.40</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80221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15598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400,747.90</w:t>
            </w:r>
          </w:p>
        </w:tc>
        <w:tc>
          <w:tcPr>
            <w:tcW w:w="136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4F29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378,821.50</w:t>
            </w:r>
          </w:p>
        </w:tc>
        <w:tc>
          <w:tcPr>
            <w:tcW w:w="14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6D25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20,228.54</w:t>
            </w:r>
          </w:p>
        </w:tc>
        <w:tc>
          <w:tcPr>
            <w:tcW w:w="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FAB8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CD2C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399,050.04</w:t>
            </w:r>
          </w:p>
        </w:tc>
        <w:tc>
          <w:tcPr>
            <w:tcW w:w="50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6F66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部分确认</w:t>
            </w:r>
          </w:p>
        </w:tc>
        <w:tc>
          <w:tcPr>
            <w:tcW w:w="4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CD7E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普通债权</w:t>
            </w:r>
          </w:p>
        </w:tc>
        <w:tc>
          <w:tcPr>
            <w:tcW w:w="23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B599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依据生效法律文书对债权予以确认</w:t>
            </w:r>
          </w:p>
        </w:tc>
      </w:tr>
      <w:tr w14:paraId="480ABAF9">
        <w:tblPrEx>
          <w:tblCellMar>
            <w:top w:w="0" w:type="dxa"/>
            <w:left w:w="0" w:type="dxa"/>
            <w:bottom w:w="0" w:type="dxa"/>
            <w:right w:w="0" w:type="dxa"/>
          </w:tblCellMar>
        </w:tblPrEx>
        <w:trPr>
          <w:trHeight w:val="90" w:hRule="atLeast"/>
          <w:jc w:val="center"/>
        </w:trPr>
        <w:tc>
          <w:tcPr>
            <w:tcW w:w="54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BF1C0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3E82B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泉州市志豪餐饮管理有限公司</w:t>
            </w:r>
          </w:p>
        </w:tc>
        <w:tc>
          <w:tcPr>
            <w:tcW w:w="159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DEC430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FBCDD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37,058.21</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ECBA1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58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8350F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37,058.21</w:t>
            </w:r>
          </w:p>
        </w:tc>
        <w:tc>
          <w:tcPr>
            <w:tcW w:w="136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3C4F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04F9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37,058.21</w:t>
            </w:r>
          </w:p>
        </w:tc>
        <w:tc>
          <w:tcPr>
            <w:tcW w:w="55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C460C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3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833F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37,058.21</w:t>
            </w:r>
          </w:p>
        </w:tc>
        <w:tc>
          <w:tcPr>
            <w:tcW w:w="50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94162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全部</w:t>
            </w:r>
            <w:r>
              <w:rPr>
                <w:rFonts w:hint="eastAsia" w:ascii="宋体" w:hAnsi="宋体" w:eastAsia="宋体" w:cs="宋体"/>
                <w:i w:val="0"/>
                <w:iCs w:val="0"/>
                <w:color w:val="000000"/>
                <w:kern w:val="0"/>
                <w:sz w:val="22"/>
                <w:szCs w:val="22"/>
                <w:u w:val="none"/>
                <w:lang w:val="en-US" w:eastAsia="zh-CN" w:bidi="ar"/>
              </w:rPr>
              <w:t>确认</w:t>
            </w:r>
          </w:p>
        </w:tc>
        <w:tc>
          <w:tcPr>
            <w:tcW w:w="4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0A9D6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普通债权（劣后清偿）</w:t>
            </w:r>
          </w:p>
        </w:tc>
        <w:tc>
          <w:tcPr>
            <w:tcW w:w="233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BEB1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依据生效法律文书对迟延履行期间的加倍债务利息予以确认，该利息具有惩罚性质，故劣后于其他普通债权清偿</w:t>
            </w:r>
          </w:p>
        </w:tc>
      </w:tr>
    </w:tbl>
    <w:p w14:paraId="383A57D3">
      <w:pPr>
        <w:keepNext w:val="0"/>
        <w:keepLines w:val="0"/>
        <w:widowControl/>
        <w:numPr>
          <w:ilvl w:val="0"/>
          <w:numId w:val="0"/>
        </w:numPr>
        <w:suppressLineNumbers w:val="0"/>
        <w:jc w:val="center"/>
        <w:textAlignment w:val="center"/>
        <w:outlineLvl w:val="0"/>
        <w:rPr>
          <w:rFonts w:hint="eastAsia" w:ascii="黑体" w:hAnsi="黑体" w:eastAsia="黑体" w:cs="黑体"/>
          <w:b/>
          <w:i w:val="0"/>
          <w:color w:val="auto"/>
          <w:kern w:val="0"/>
          <w:sz w:val="40"/>
          <w:szCs w:val="40"/>
          <w:highlight w:val="none"/>
          <w:u w:val="none"/>
          <w:lang w:val="en-US" w:eastAsia="zh-CN" w:bidi="ar"/>
        </w:rPr>
      </w:pPr>
    </w:p>
    <w:bookmarkEnd w:id="1"/>
    <w:p w14:paraId="32998AE2">
      <w:pPr>
        <w:keepNext w:val="0"/>
        <w:keepLines w:val="0"/>
        <w:widowControl/>
        <w:numPr>
          <w:ilvl w:val="0"/>
          <w:numId w:val="0"/>
        </w:numPr>
        <w:suppressLineNumbers w:val="0"/>
        <w:jc w:val="both"/>
        <w:textAlignment w:val="center"/>
        <w:outlineLvl w:val="9"/>
        <w:rPr>
          <w:rFonts w:hint="eastAsia" w:ascii="仿宋" w:hAnsi="仿宋" w:eastAsia="仿宋" w:cs="仿宋"/>
          <w:b w:val="0"/>
          <w:bCs/>
          <w:i w:val="0"/>
          <w:color w:val="auto"/>
          <w:kern w:val="0"/>
          <w:sz w:val="24"/>
          <w:szCs w:val="24"/>
          <w:highlight w:val="none"/>
          <w:u w:val="none"/>
          <w:lang w:val="en-US" w:eastAsia="zh-CN" w:bidi="ar"/>
        </w:rPr>
      </w:pPr>
      <w:bookmarkStart w:id="13" w:name="_GoBack"/>
      <w:bookmarkEnd w:id="13"/>
    </w:p>
    <w:p w14:paraId="2284E925">
      <w:pPr>
        <w:keepNext w:val="0"/>
        <w:keepLines w:val="0"/>
        <w:widowControl/>
        <w:numPr>
          <w:ilvl w:val="0"/>
          <w:numId w:val="0"/>
        </w:numPr>
        <w:suppressLineNumbers w:val="0"/>
        <w:jc w:val="center"/>
        <w:textAlignment w:val="center"/>
        <w:outlineLvl w:val="9"/>
        <w:rPr>
          <w:rFonts w:hint="eastAsia" w:ascii="仿宋" w:hAnsi="仿宋" w:eastAsia="仿宋" w:cs="仿宋"/>
          <w:b w:val="0"/>
          <w:bCs/>
          <w:i w:val="0"/>
          <w:color w:val="auto"/>
          <w:kern w:val="0"/>
          <w:sz w:val="24"/>
          <w:szCs w:val="24"/>
          <w:highlight w:val="none"/>
          <w:u w:val="none"/>
          <w:lang w:val="en-US" w:eastAsia="zh-CN" w:bidi="ar"/>
        </w:rPr>
      </w:pPr>
    </w:p>
    <w:bookmarkEnd w:id="2"/>
    <w:p w14:paraId="1D5651D0">
      <w:pPr>
        <w:widowControl/>
        <w:jc w:val="left"/>
        <w:textAlignment w:val="center"/>
        <w:rPr>
          <w:rFonts w:hint="eastAsia" w:ascii="仿宋" w:hAnsi="仿宋" w:eastAsia="仿宋" w:cs="仿宋"/>
          <w:b/>
          <w:kern w:val="0"/>
          <w:lang w:bidi="ar"/>
        </w:rPr>
        <w:sectPr>
          <w:pgSz w:w="16838" w:h="11906" w:orient="landscape"/>
          <w:pgMar w:top="1800" w:right="1440" w:bottom="1800" w:left="1440" w:header="851" w:footer="992" w:gutter="0"/>
          <w:cols w:space="425" w:num="1"/>
          <w:docGrid w:type="lines" w:linePitch="312" w:charSpace="0"/>
        </w:sectPr>
      </w:pPr>
    </w:p>
    <w:bookmarkEnd w:id="3"/>
    <w:bookmarkEnd w:id="4"/>
    <w:bookmarkEnd w:id="5"/>
    <w:bookmarkEnd w:id="6"/>
    <w:bookmarkEnd w:id="7"/>
    <w:bookmarkEnd w:id="8"/>
    <w:bookmarkEnd w:id="9"/>
    <w:bookmarkEnd w:id="10"/>
    <w:bookmarkEnd w:id="11"/>
    <w:bookmarkEnd w:id="12"/>
    <w:p w14:paraId="4197FB09">
      <w:pPr>
        <w:pStyle w:val="2"/>
        <w:jc w:val="distribute"/>
        <w:rPr>
          <w:rFonts w:hint="eastAsia" w:eastAsia="黑体"/>
          <w:sz w:val="44"/>
          <w:szCs w:val="44"/>
          <w:lang w:eastAsia="zh-CN"/>
        </w:rPr>
      </w:pPr>
      <w:r>
        <w:rPr>
          <w:rFonts w:hint="eastAsia"/>
          <w:sz w:val="44"/>
          <w:szCs w:val="44"/>
          <w:lang w:eastAsia="zh-CN"/>
        </w:rPr>
        <w:t>泉州锦上添花餐饮管理有限公司</w:t>
      </w:r>
    </w:p>
    <w:p w14:paraId="1EDBF3B4">
      <w:pPr>
        <w:pStyle w:val="2"/>
        <w:jc w:val="center"/>
        <w:rPr>
          <w:sz w:val="44"/>
          <w:szCs w:val="44"/>
        </w:rPr>
      </w:pPr>
      <w:r>
        <w:rPr>
          <w:rFonts w:hint="eastAsia"/>
          <w:sz w:val="44"/>
          <w:szCs w:val="44"/>
          <w:lang w:eastAsia="zh-Hans"/>
        </w:rPr>
        <w:t>债务人</w:t>
      </w:r>
      <w:r>
        <w:rPr>
          <w:rFonts w:hint="eastAsia"/>
          <w:sz w:val="44"/>
          <w:szCs w:val="44"/>
        </w:rPr>
        <w:t>债权核</w:t>
      </w:r>
      <w:r>
        <w:rPr>
          <w:rFonts w:hint="eastAsia"/>
          <w:sz w:val="44"/>
          <w:szCs w:val="44"/>
          <w:lang w:eastAsia="zh-Hans"/>
        </w:rPr>
        <w:t>对</w:t>
      </w:r>
      <w:r>
        <w:rPr>
          <w:rFonts w:hint="eastAsia"/>
          <w:sz w:val="44"/>
          <w:szCs w:val="44"/>
        </w:rPr>
        <w:t>表</w:t>
      </w:r>
    </w:p>
    <w:tbl>
      <w:tblPr>
        <w:tblStyle w:val="7"/>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7434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720" w:type="dxa"/>
            <w:vAlign w:val="center"/>
          </w:tcPr>
          <w:p w14:paraId="07938FDF">
            <w:pPr>
              <w:jc w:val="center"/>
            </w:pPr>
            <w:r>
              <w:rPr>
                <w:rFonts w:hint="eastAsia" w:ascii="宋体" w:hAnsi="宋体"/>
                <w:sz w:val="24"/>
              </w:rPr>
              <w:t>对《债权表》中记载的债权编号第</w:t>
            </w:r>
            <w:r>
              <w:rPr>
                <w:rFonts w:hint="eastAsia" w:ascii="宋体" w:hAnsi="宋体"/>
                <w:sz w:val="24"/>
                <w:u w:val="single"/>
                <w:lang w:val="en-US" w:eastAsia="zh-CN"/>
              </w:rPr>
              <w:t xml:space="preserve">       </w:t>
            </w:r>
            <w:r>
              <w:rPr>
                <w:rFonts w:hint="eastAsia" w:ascii="宋体" w:hAnsi="宋体"/>
                <w:sz w:val="24"/>
              </w:rPr>
              <w:t>号债权审查结果有异议</w:t>
            </w:r>
          </w:p>
        </w:tc>
      </w:tr>
      <w:tr w14:paraId="6634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9" w:hRule="atLeast"/>
        </w:trPr>
        <w:tc>
          <w:tcPr>
            <w:tcW w:w="8720" w:type="dxa"/>
          </w:tcPr>
          <w:p w14:paraId="5378797B">
            <w:pPr>
              <w:tabs>
                <w:tab w:val="left" w:pos="3373"/>
              </w:tabs>
            </w:pPr>
          </w:p>
          <w:p w14:paraId="79DCD7CD">
            <w:pPr>
              <w:tabs>
                <w:tab w:val="left" w:pos="3373"/>
              </w:tabs>
            </w:pPr>
            <w:r>
              <w:rPr>
                <w:rFonts w:hint="eastAsia"/>
              </w:rPr>
              <w:t>事实与理由：</w:t>
            </w:r>
            <w:r>
              <w:t xml:space="preserve"> </w:t>
            </w:r>
          </w:p>
        </w:tc>
      </w:tr>
      <w:tr w14:paraId="531E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720" w:type="dxa"/>
          </w:tcPr>
          <w:p w14:paraId="215D0251">
            <w:pPr>
              <w:wordWrap w:val="0"/>
              <w:spacing w:line="480" w:lineRule="auto"/>
              <w:ind w:firstLine="6160" w:firstLineChars="2200"/>
              <w:jc w:val="both"/>
              <w:rPr>
                <w:rFonts w:hint="default" w:eastAsiaTheme="minorEastAsia"/>
                <w:lang w:val="en-US" w:eastAsia="zh-CN"/>
              </w:rPr>
            </w:pPr>
            <w:r>
              <w:rPr>
                <w:rFonts w:hint="eastAsia"/>
              </w:rPr>
              <w:t>签字：</w:t>
            </w:r>
            <w:r>
              <w:rPr>
                <w:rFonts w:hint="eastAsia"/>
                <w:lang w:val="en-US" w:eastAsia="zh-CN"/>
              </w:rPr>
              <w:t xml:space="preserve">     </w:t>
            </w:r>
          </w:p>
          <w:p w14:paraId="5B8308E8">
            <w:pPr>
              <w:wordWrap w:val="0"/>
              <w:spacing w:line="480" w:lineRule="auto"/>
              <w:jc w:val="center"/>
              <w:rPr>
                <w:rFonts w:hint="default" w:eastAsiaTheme="minorEastAsia"/>
                <w:lang w:val="en-US" w:eastAsia="zh-CN"/>
              </w:rPr>
            </w:pPr>
            <w:r>
              <w:rPr>
                <w:rFonts w:hint="eastAsia"/>
                <w:lang w:val="en-US" w:eastAsia="zh-CN"/>
              </w:rPr>
              <w:t xml:space="preserve">                                        </w:t>
            </w:r>
            <w:r>
              <w:rPr>
                <w:rFonts w:hint="eastAsia"/>
              </w:rPr>
              <w:t>日期：</w:t>
            </w:r>
            <w:r>
              <w:rPr>
                <w:rFonts w:hint="eastAsia"/>
                <w:lang w:val="en-US" w:eastAsia="zh-CN"/>
              </w:rPr>
              <w:t xml:space="preserve">       </w:t>
            </w:r>
          </w:p>
        </w:tc>
      </w:tr>
    </w:tbl>
    <w:p w14:paraId="0A610C3A">
      <w:pPr>
        <w:spacing w:line="540" w:lineRule="exact"/>
        <w:jc w:val="right"/>
        <w:rPr>
          <w:rFonts w:hint="eastAsia" w:ascii="仿宋_GB2312" w:hAnsi="华文仿宋" w:eastAsia="仿宋_GB2312" w:cs="Times New Roman"/>
          <w:lang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宋体-简">
    <w:altName w:val="宋体"/>
    <w:panose1 w:val="0201080004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39070">
    <w:pPr>
      <w:pStyle w:val="5"/>
      <w:pBdr>
        <w:bottom w:val="thickThinSmallGap" w:color="auto" w:sz="12" w:space="1"/>
      </w:pBdr>
      <w:jc w:val="center"/>
      <w:rPr>
        <w:b/>
        <w:bCs/>
        <w:sz w:val="40"/>
        <w:szCs w:val="40"/>
      </w:rPr>
    </w:pPr>
    <w:r>
      <w:rPr>
        <w:rFonts w:hint="eastAsia"/>
        <w:b/>
        <w:bCs/>
        <w:sz w:val="40"/>
        <w:szCs w:val="40"/>
        <w:lang w:eastAsia="zh-CN"/>
      </w:rPr>
      <w:t>泉州锦上添花餐饮管理有限公司</w:t>
    </w:r>
    <w:r>
      <w:rPr>
        <w:rFonts w:hint="eastAsia"/>
        <w:b/>
        <w:bCs/>
        <w:sz w:val="40"/>
        <w:szCs w:val="40"/>
      </w:rPr>
      <w:t>管理人</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10B910"/>
    <w:multiLevelType w:val="singleLevel"/>
    <w:tmpl w:val="8B10B910"/>
    <w:lvl w:ilvl="0" w:tentative="0">
      <w:start w:val="202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VjNzczNTJhZTE2N2I0ZmJlOThiYWU2YWI4OTRmYzYifQ=="/>
    <w:docVar w:name="KSO_WPS_MARK_KEY" w:val="b6ddaf95-dab2-45d1-8081-2e802e8cee24"/>
  </w:docVars>
  <w:rsids>
    <w:rsidRoot w:val="76774012"/>
    <w:rsid w:val="00007423"/>
    <w:rsid w:val="000D37C8"/>
    <w:rsid w:val="000E2E4A"/>
    <w:rsid w:val="00105FAA"/>
    <w:rsid w:val="001510FC"/>
    <w:rsid w:val="00161DB8"/>
    <w:rsid w:val="0017029E"/>
    <w:rsid w:val="001B10F5"/>
    <w:rsid w:val="001C6B06"/>
    <w:rsid w:val="00227352"/>
    <w:rsid w:val="002436A3"/>
    <w:rsid w:val="00323CA1"/>
    <w:rsid w:val="003A02B4"/>
    <w:rsid w:val="003B6857"/>
    <w:rsid w:val="003F26AB"/>
    <w:rsid w:val="00670F32"/>
    <w:rsid w:val="00692C63"/>
    <w:rsid w:val="007A64F4"/>
    <w:rsid w:val="00830AB0"/>
    <w:rsid w:val="00866DA8"/>
    <w:rsid w:val="00876D29"/>
    <w:rsid w:val="00995157"/>
    <w:rsid w:val="009E473F"/>
    <w:rsid w:val="00A0389D"/>
    <w:rsid w:val="00A671BD"/>
    <w:rsid w:val="00A7078B"/>
    <w:rsid w:val="00B121AC"/>
    <w:rsid w:val="00B13EA0"/>
    <w:rsid w:val="00B668CE"/>
    <w:rsid w:val="00CC1EAA"/>
    <w:rsid w:val="00D245DC"/>
    <w:rsid w:val="00D2484E"/>
    <w:rsid w:val="00D263EE"/>
    <w:rsid w:val="00D46B2C"/>
    <w:rsid w:val="00DE1174"/>
    <w:rsid w:val="00E33A11"/>
    <w:rsid w:val="00E845A0"/>
    <w:rsid w:val="00F06666"/>
    <w:rsid w:val="00F115A5"/>
    <w:rsid w:val="00F9758C"/>
    <w:rsid w:val="00FC5A9A"/>
    <w:rsid w:val="00FE0FA9"/>
    <w:rsid w:val="00FE1092"/>
    <w:rsid w:val="02061E43"/>
    <w:rsid w:val="027950A0"/>
    <w:rsid w:val="03806F86"/>
    <w:rsid w:val="043F6DC8"/>
    <w:rsid w:val="05673DAD"/>
    <w:rsid w:val="056B1570"/>
    <w:rsid w:val="079A2552"/>
    <w:rsid w:val="083237FC"/>
    <w:rsid w:val="08A52FEB"/>
    <w:rsid w:val="097F1E8C"/>
    <w:rsid w:val="0A142089"/>
    <w:rsid w:val="0B560953"/>
    <w:rsid w:val="0C4B5C16"/>
    <w:rsid w:val="0C745A9A"/>
    <w:rsid w:val="0CE7073F"/>
    <w:rsid w:val="0D020A0B"/>
    <w:rsid w:val="0E1427C0"/>
    <w:rsid w:val="0E171886"/>
    <w:rsid w:val="0EAD05D0"/>
    <w:rsid w:val="0EE522DB"/>
    <w:rsid w:val="117A57E3"/>
    <w:rsid w:val="12745F08"/>
    <w:rsid w:val="13250FB0"/>
    <w:rsid w:val="16C136E5"/>
    <w:rsid w:val="17AB39D3"/>
    <w:rsid w:val="17C5460C"/>
    <w:rsid w:val="181071AC"/>
    <w:rsid w:val="186838FB"/>
    <w:rsid w:val="19052AAF"/>
    <w:rsid w:val="191C52A8"/>
    <w:rsid w:val="19FD67E3"/>
    <w:rsid w:val="1AEF2B41"/>
    <w:rsid w:val="1B2D4345"/>
    <w:rsid w:val="1C4D191D"/>
    <w:rsid w:val="1CCC2E22"/>
    <w:rsid w:val="1D412E8A"/>
    <w:rsid w:val="1D9D0553"/>
    <w:rsid w:val="1EF36A8B"/>
    <w:rsid w:val="1FE56DE3"/>
    <w:rsid w:val="20D44015"/>
    <w:rsid w:val="21B960D2"/>
    <w:rsid w:val="21CB3A0E"/>
    <w:rsid w:val="21E54DB1"/>
    <w:rsid w:val="2237485C"/>
    <w:rsid w:val="23023104"/>
    <w:rsid w:val="25A72537"/>
    <w:rsid w:val="262D48F3"/>
    <w:rsid w:val="27816E34"/>
    <w:rsid w:val="27F82CDF"/>
    <w:rsid w:val="28BE76A5"/>
    <w:rsid w:val="2A7523C5"/>
    <w:rsid w:val="2B566B28"/>
    <w:rsid w:val="2D825525"/>
    <w:rsid w:val="2F210D6D"/>
    <w:rsid w:val="30117A56"/>
    <w:rsid w:val="30646375"/>
    <w:rsid w:val="32C45A51"/>
    <w:rsid w:val="33570E46"/>
    <w:rsid w:val="33A81036"/>
    <w:rsid w:val="33AB4A62"/>
    <w:rsid w:val="33BD33EB"/>
    <w:rsid w:val="33EF2883"/>
    <w:rsid w:val="36126D79"/>
    <w:rsid w:val="38DF5965"/>
    <w:rsid w:val="3A014937"/>
    <w:rsid w:val="3A105485"/>
    <w:rsid w:val="3A6C6EB6"/>
    <w:rsid w:val="3B122E7E"/>
    <w:rsid w:val="3CDF6400"/>
    <w:rsid w:val="3DDF1A57"/>
    <w:rsid w:val="3E9265FB"/>
    <w:rsid w:val="409F0703"/>
    <w:rsid w:val="41F83BB0"/>
    <w:rsid w:val="435718DF"/>
    <w:rsid w:val="44055877"/>
    <w:rsid w:val="44802EB5"/>
    <w:rsid w:val="478D0C4E"/>
    <w:rsid w:val="489B47BB"/>
    <w:rsid w:val="49367ADC"/>
    <w:rsid w:val="4A394D65"/>
    <w:rsid w:val="4C0575F5"/>
    <w:rsid w:val="4C5B4AC8"/>
    <w:rsid w:val="4D192DD4"/>
    <w:rsid w:val="4D3F4625"/>
    <w:rsid w:val="4DB932D4"/>
    <w:rsid w:val="4E751ACC"/>
    <w:rsid w:val="4F2545E5"/>
    <w:rsid w:val="4FF260E2"/>
    <w:rsid w:val="50670A52"/>
    <w:rsid w:val="52D61563"/>
    <w:rsid w:val="537B4906"/>
    <w:rsid w:val="540F0813"/>
    <w:rsid w:val="54371514"/>
    <w:rsid w:val="558C6691"/>
    <w:rsid w:val="55FB216C"/>
    <w:rsid w:val="58425AC6"/>
    <w:rsid w:val="591A2BA2"/>
    <w:rsid w:val="5B354B4F"/>
    <w:rsid w:val="5B557525"/>
    <w:rsid w:val="5C24527D"/>
    <w:rsid w:val="5C8818DD"/>
    <w:rsid w:val="5D8D1E0A"/>
    <w:rsid w:val="5DF4767B"/>
    <w:rsid w:val="5E313191"/>
    <w:rsid w:val="5E343D6A"/>
    <w:rsid w:val="5E40270F"/>
    <w:rsid w:val="5ED846F5"/>
    <w:rsid w:val="5F28521A"/>
    <w:rsid w:val="5FD408CA"/>
    <w:rsid w:val="5FF54EE3"/>
    <w:rsid w:val="609964FE"/>
    <w:rsid w:val="613B5286"/>
    <w:rsid w:val="614D5DDD"/>
    <w:rsid w:val="64260681"/>
    <w:rsid w:val="64C404E0"/>
    <w:rsid w:val="67056738"/>
    <w:rsid w:val="67822460"/>
    <w:rsid w:val="678D782E"/>
    <w:rsid w:val="690A5DF3"/>
    <w:rsid w:val="6B063579"/>
    <w:rsid w:val="6BFB7C75"/>
    <w:rsid w:val="6EE26368"/>
    <w:rsid w:val="6F7E6BF3"/>
    <w:rsid w:val="70AB374F"/>
    <w:rsid w:val="713779A1"/>
    <w:rsid w:val="721B4BCD"/>
    <w:rsid w:val="74A86F2F"/>
    <w:rsid w:val="74AA1E66"/>
    <w:rsid w:val="74BE5EA9"/>
    <w:rsid w:val="752F3759"/>
    <w:rsid w:val="7574395E"/>
    <w:rsid w:val="7637345C"/>
    <w:rsid w:val="76774012"/>
    <w:rsid w:val="771F2BE3"/>
    <w:rsid w:val="7816799E"/>
    <w:rsid w:val="78285131"/>
    <w:rsid w:val="7A5B438C"/>
    <w:rsid w:val="7A752A91"/>
    <w:rsid w:val="7C375D79"/>
    <w:rsid w:val="7CB43C54"/>
    <w:rsid w:val="7F62291F"/>
    <w:rsid w:val="D9EC81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简" w:asciiTheme="minorHAnsi" w:hAnsiTheme="minorHAnsi" w:eastAsiaTheme="minorEastAsia"/>
      <w:kern w:val="2"/>
      <w:sz w:val="28"/>
      <w:szCs w:val="28"/>
      <w:lang w:val="en-US" w:eastAsia="zh-CN" w:bidi="ar-SA"/>
    </w:rPr>
  </w:style>
  <w:style w:type="paragraph" w:styleId="2">
    <w:name w:val="heading 2"/>
    <w:basedOn w:val="1"/>
    <w:next w:val="1"/>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autoRedefine/>
    <w:unhideWhenUsed/>
    <w:qFormat/>
    <w:uiPriority w:val="0"/>
    <w:pPr>
      <w:keepNext/>
      <w:keepLines/>
      <w:spacing w:before="260" w:after="260" w:line="413" w:lineRule="auto"/>
      <w:outlineLvl w:val="2"/>
    </w:pPr>
    <w:rPr>
      <w:b/>
      <w:sz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942</Words>
  <Characters>1192</Characters>
  <Lines>104</Lines>
  <Paragraphs>92</Paragraphs>
  <TotalTime>0</TotalTime>
  <ScaleCrop>false</ScaleCrop>
  <LinksUpToDate>false</LinksUpToDate>
  <CharactersWithSpaces>1291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2025-10-13T09:37:00Z</dcterms:created>
  <dc:creator>ζ</dc:creator>
  <cp:lastModifiedBy>小玲玲</cp:lastModifiedBy>
  <dcterms:modified xsi:type="dcterms:W3CDTF">2026-08-27T03:46:26Z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AC03CD1E13614D49B218426C645E96D9_13</vt:lpwstr>
  </property>
  <property fmtid="{D5CDD505-2E9C-101B-9397-08002B2CF9AE}" pid="4" name="KSOTemplateDocerSaveRecord">
    <vt:lpwstr>eyJoZGlkIjoiYjFjYmZhNzI0YjI0NWE0YmY2Njc0MWUxOTU5N2MwZDciLCJ1c2VySWQiOiIzNzgwMzQzNzgifQ==</vt:lpwstr>
  </property>
</Properties>
</file>