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8B20F">
      <w:pPr>
        <w:spacing w:line="360" w:lineRule="auto"/>
        <w:jc w:val="center"/>
        <w:rPr>
          <w:rFonts w:ascii="仿宋" w:hAnsi="仿宋" w:eastAsia="仿宋"/>
          <w:b/>
          <w:sz w:val="36"/>
          <w:szCs w:val="36"/>
        </w:rPr>
      </w:pPr>
      <w:bookmarkStart w:id="1" w:name="_GoBack"/>
      <w:bookmarkEnd w:id="1"/>
      <w:r>
        <w:rPr>
          <w:rFonts w:hint="eastAsia" w:ascii="仿宋" w:hAnsi="仿宋" w:eastAsia="仿宋"/>
          <w:b/>
          <w:sz w:val="36"/>
          <w:szCs w:val="36"/>
          <w:lang w:val="en-US" w:eastAsia="zh-CN"/>
        </w:rPr>
        <w:t>威海市皓程置业有限公司</w:t>
      </w:r>
      <w:r>
        <w:rPr>
          <w:rFonts w:hint="eastAsia" w:ascii="仿宋" w:hAnsi="仿宋" w:eastAsia="仿宋"/>
          <w:b/>
          <w:sz w:val="36"/>
          <w:szCs w:val="36"/>
        </w:rPr>
        <w:t>重整案</w:t>
      </w:r>
    </w:p>
    <w:p w14:paraId="0A521ECA">
      <w:pPr>
        <w:spacing w:line="360" w:lineRule="auto"/>
        <w:jc w:val="center"/>
        <w:rPr>
          <w:rFonts w:ascii="仿宋" w:hAnsi="仿宋" w:eastAsia="仿宋"/>
          <w:b/>
          <w:sz w:val="36"/>
          <w:szCs w:val="36"/>
        </w:rPr>
      </w:pPr>
      <w:r>
        <w:rPr>
          <w:rFonts w:hint="eastAsia" w:ascii="仿宋" w:hAnsi="仿宋" w:eastAsia="仿宋"/>
          <w:b/>
          <w:sz w:val="36"/>
          <w:szCs w:val="36"/>
        </w:rPr>
        <w:t>尽职调查保密协议</w:t>
      </w:r>
    </w:p>
    <w:p w14:paraId="77EDBC3C">
      <w:pPr>
        <w:spacing w:line="360" w:lineRule="auto"/>
        <w:ind w:firstLine="480" w:firstLineChars="200"/>
        <w:rPr>
          <w:rFonts w:ascii="仿宋" w:hAnsi="仿宋" w:eastAsia="仿宋"/>
          <w:bCs/>
          <w:sz w:val="24"/>
          <w:szCs w:val="24"/>
        </w:rPr>
      </w:pPr>
    </w:p>
    <w:p w14:paraId="49D3404E">
      <w:pPr>
        <w:spacing w:line="360" w:lineRule="auto"/>
        <w:ind w:firstLine="480" w:firstLineChars="200"/>
        <w:rPr>
          <w:rFonts w:ascii="仿宋" w:hAnsi="仿宋" w:eastAsia="仿宋"/>
          <w:bCs/>
          <w:sz w:val="24"/>
          <w:szCs w:val="24"/>
        </w:rPr>
      </w:pPr>
      <w:r>
        <w:rPr>
          <w:rFonts w:hint="eastAsia" w:ascii="仿宋" w:hAnsi="仿宋" w:eastAsia="仿宋"/>
          <w:bCs/>
          <w:sz w:val="24"/>
          <w:szCs w:val="24"/>
        </w:rPr>
        <w:t>甲方：</w:t>
      </w:r>
      <w:r>
        <w:rPr>
          <w:rFonts w:hint="eastAsia" w:ascii="仿宋" w:hAnsi="仿宋" w:eastAsia="仿宋"/>
          <w:bCs/>
          <w:sz w:val="24"/>
          <w:szCs w:val="24"/>
          <w:lang w:val="en-US" w:eastAsia="zh-CN"/>
        </w:rPr>
        <w:t>威海市皓程置业有限公司</w:t>
      </w:r>
      <w:r>
        <w:rPr>
          <w:rFonts w:hint="eastAsia" w:ascii="仿宋" w:hAnsi="仿宋" w:eastAsia="仿宋"/>
          <w:bCs/>
          <w:sz w:val="24"/>
          <w:szCs w:val="24"/>
        </w:rPr>
        <w:t>管理人</w:t>
      </w:r>
    </w:p>
    <w:p w14:paraId="029D4D71">
      <w:pPr>
        <w:spacing w:line="360" w:lineRule="auto"/>
        <w:ind w:firstLine="480" w:firstLineChars="200"/>
        <w:rPr>
          <w:rFonts w:ascii="仿宋" w:hAnsi="仿宋" w:eastAsia="仿宋"/>
          <w:sz w:val="24"/>
          <w:szCs w:val="24"/>
        </w:rPr>
      </w:pPr>
      <w:r>
        <w:rPr>
          <w:rFonts w:hint="eastAsia" w:ascii="仿宋" w:hAnsi="仿宋" w:eastAsia="仿宋"/>
          <w:bCs/>
          <w:sz w:val="24"/>
          <w:szCs w:val="24"/>
        </w:rPr>
        <w:t xml:space="preserve">乙方： </w:t>
      </w:r>
    </w:p>
    <w:p w14:paraId="67B0965B">
      <w:pPr>
        <w:spacing w:line="360" w:lineRule="auto"/>
        <w:ind w:firstLine="480" w:firstLineChars="200"/>
        <w:rPr>
          <w:rFonts w:ascii="仿宋" w:hAnsi="仿宋" w:eastAsia="仿宋"/>
          <w:b/>
          <w:sz w:val="24"/>
          <w:szCs w:val="24"/>
        </w:rPr>
      </w:pPr>
      <w:r>
        <w:rPr>
          <w:rFonts w:hint="eastAsia" w:ascii="仿宋" w:hAnsi="仿宋" w:eastAsia="仿宋"/>
          <w:b/>
          <w:sz w:val="24"/>
          <w:szCs w:val="24"/>
        </w:rPr>
        <w:t>鉴于：</w:t>
      </w:r>
    </w:p>
    <w:p w14:paraId="4D55958E">
      <w:pPr>
        <w:spacing w:line="360" w:lineRule="auto"/>
        <w:ind w:firstLine="480" w:firstLineChars="200"/>
        <w:rPr>
          <w:rFonts w:ascii="仿宋" w:hAnsi="仿宋" w:eastAsia="仿宋"/>
          <w:sz w:val="24"/>
          <w:szCs w:val="24"/>
        </w:rPr>
      </w:pPr>
      <w:r>
        <w:rPr>
          <w:rFonts w:hint="eastAsia" w:ascii="仿宋" w:hAnsi="仿宋" w:eastAsia="仿宋"/>
          <w:sz w:val="24"/>
          <w:szCs w:val="24"/>
        </w:rPr>
        <w:t>1、甲方于2</w:t>
      </w:r>
      <w:r>
        <w:rPr>
          <w:rFonts w:ascii="仿宋" w:hAnsi="仿宋" w:eastAsia="仿宋"/>
          <w:sz w:val="24"/>
          <w:szCs w:val="24"/>
        </w:rPr>
        <w:t>02</w:t>
      </w:r>
      <w:r>
        <w:rPr>
          <w:rFonts w:hint="eastAsia" w:ascii="仿宋" w:hAnsi="仿宋" w:eastAsia="仿宋"/>
          <w:sz w:val="24"/>
          <w:szCs w:val="24"/>
          <w:lang w:val="en-US" w:eastAsia="zh-CN"/>
        </w:rPr>
        <w:t>6</w:t>
      </w:r>
      <w:r>
        <w:rPr>
          <w:rFonts w:hint="eastAsia" w:ascii="仿宋" w:hAnsi="仿宋" w:eastAsia="仿宋"/>
          <w:sz w:val="24"/>
          <w:szCs w:val="24"/>
        </w:rPr>
        <w:t>年</w:t>
      </w:r>
      <w:r>
        <w:rPr>
          <w:rFonts w:hint="eastAsia" w:ascii="仿宋" w:hAnsi="仿宋" w:eastAsia="仿宋"/>
          <w:sz w:val="24"/>
          <w:szCs w:val="24"/>
          <w:lang w:val="en-US" w:eastAsia="zh-CN"/>
        </w:rPr>
        <w:t xml:space="preserve">  </w:t>
      </w:r>
      <w:r>
        <w:rPr>
          <w:rFonts w:hint="eastAsia" w:ascii="仿宋" w:hAnsi="仿宋" w:eastAsia="仿宋"/>
          <w:sz w:val="24"/>
          <w:szCs w:val="24"/>
        </w:rPr>
        <w:t>月</w:t>
      </w:r>
      <w:r>
        <w:rPr>
          <w:rFonts w:hint="eastAsia" w:ascii="仿宋" w:hAnsi="仿宋" w:eastAsia="仿宋"/>
          <w:sz w:val="24"/>
          <w:szCs w:val="24"/>
          <w:lang w:val="en-US" w:eastAsia="zh-CN"/>
        </w:rPr>
        <w:t xml:space="preserve">   </w:t>
      </w:r>
      <w:r>
        <w:rPr>
          <w:rFonts w:hint="eastAsia" w:ascii="仿宋" w:hAnsi="仿宋" w:eastAsia="仿宋"/>
          <w:sz w:val="24"/>
          <w:szCs w:val="24"/>
        </w:rPr>
        <w:t>日发布了《</w:t>
      </w:r>
      <w:r>
        <w:rPr>
          <w:rFonts w:hint="eastAsia" w:ascii="仿宋" w:hAnsi="仿宋" w:eastAsia="仿宋"/>
          <w:bCs/>
          <w:sz w:val="24"/>
          <w:szCs w:val="24"/>
          <w:lang w:val="en-US" w:eastAsia="zh-CN"/>
        </w:rPr>
        <w:t>威海市皓程置业有限公司</w:t>
      </w:r>
      <w:r>
        <w:rPr>
          <w:rFonts w:hint="eastAsia" w:ascii="仿宋" w:hAnsi="仿宋" w:eastAsia="仿宋"/>
          <w:sz w:val="24"/>
          <w:szCs w:val="24"/>
        </w:rPr>
        <w:t>重整投资人招募公告》（以下简称：《公告》）；</w:t>
      </w:r>
    </w:p>
    <w:p w14:paraId="42B28CA7">
      <w:pPr>
        <w:spacing w:line="360" w:lineRule="auto"/>
        <w:ind w:firstLine="480" w:firstLineChars="200"/>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、乙方报名申请对</w:t>
      </w:r>
      <w:r>
        <w:rPr>
          <w:rFonts w:hint="eastAsia" w:ascii="仿宋" w:hAnsi="仿宋" w:eastAsia="仿宋"/>
          <w:bCs/>
          <w:sz w:val="24"/>
          <w:szCs w:val="24"/>
          <w:lang w:val="en-US" w:eastAsia="zh-CN"/>
        </w:rPr>
        <w:t>威海市皓程置业有限公司</w:t>
      </w:r>
      <w:r>
        <w:rPr>
          <w:rFonts w:hint="eastAsia" w:ascii="仿宋" w:hAnsi="仿宋" w:eastAsia="仿宋"/>
          <w:sz w:val="24"/>
          <w:szCs w:val="24"/>
        </w:rPr>
        <w:t>进行重整投资，并收到甲方送达的《资格入围通知书》，现申请对</w:t>
      </w:r>
      <w:r>
        <w:rPr>
          <w:rFonts w:hint="eastAsia" w:ascii="仿宋" w:hAnsi="仿宋" w:eastAsia="仿宋"/>
          <w:bCs/>
          <w:sz w:val="24"/>
          <w:szCs w:val="24"/>
          <w:lang w:val="en-US" w:eastAsia="zh-CN"/>
        </w:rPr>
        <w:t>威海市皓程置业有限公司</w:t>
      </w:r>
      <w:r>
        <w:rPr>
          <w:rFonts w:hint="eastAsia" w:ascii="仿宋" w:hAnsi="仿宋" w:eastAsia="仿宋"/>
          <w:sz w:val="24"/>
          <w:szCs w:val="24"/>
        </w:rPr>
        <w:t>重整案有关情况进行尽职调查，并保证对尽职调查过程中知悉的相关信息严格保密。</w:t>
      </w:r>
    </w:p>
    <w:p w14:paraId="7A47979D">
      <w:pPr>
        <w:spacing w:line="360" w:lineRule="auto"/>
        <w:ind w:firstLine="480" w:firstLineChars="200"/>
        <w:rPr>
          <w:rFonts w:ascii="仿宋" w:hAnsi="仿宋" w:eastAsia="仿宋"/>
          <w:sz w:val="24"/>
          <w:szCs w:val="24"/>
        </w:rPr>
      </w:pPr>
      <w:r>
        <w:rPr>
          <w:rFonts w:hint="eastAsia" w:ascii="仿宋" w:hAnsi="仿宋" w:eastAsia="仿宋"/>
          <w:sz w:val="24"/>
          <w:szCs w:val="24"/>
        </w:rPr>
        <w:t>基于上述前提，根据《中华人民共和国民法典》及其他相关法律、法规的规定，甲乙双方本着诚实信用的原则，经协商一致，签订本保密协议，供双方信守。</w:t>
      </w:r>
    </w:p>
    <w:p w14:paraId="279068C2">
      <w:pPr>
        <w:spacing w:line="360" w:lineRule="auto"/>
        <w:ind w:firstLine="480" w:firstLineChars="200"/>
        <w:rPr>
          <w:rFonts w:ascii="仿宋" w:hAnsi="仿宋" w:eastAsia="仿宋"/>
          <w:b/>
          <w:sz w:val="24"/>
          <w:szCs w:val="24"/>
        </w:rPr>
      </w:pPr>
      <w:r>
        <w:rPr>
          <w:rFonts w:hint="eastAsia" w:ascii="仿宋" w:hAnsi="仿宋" w:eastAsia="仿宋"/>
          <w:b/>
          <w:sz w:val="24"/>
          <w:szCs w:val="24"/>
        </w:rPr>
        <w:t>一、保密信息</w:t>
      </w:r>
    </w:p>
    <w:p w14:paraId="6BBFC5B3">
      <w:pPr>
        <w:spacing w:line="360" w:lineRule="auto"/>
        <w:ind w:firstLine="480" w:firstLineChars="200"/>
        <w:rPr>
          <w:rFonts w:ascii="仿宋" w:hAnsi="仿宋" w:eastAsia="仿宋"/>
          <w:sz w:val="24"/>
          <w:szCs w:val="24"/>
        </w:rPr>
      </w:pPr>
      <w:r>
        <w:rPr>
          <w:rFonts w:hint="eastAsia" w:ascii="仿宋" w:hAnsi="仿宋" w:eastAsia="仿宋"/>
          <w:sz w:val="24"/>
          <w:szCs w:val="24"/>
        </w:rPr>
        <w:t>本协议项下的“保密信息”是指基于</w:t>
      </w:r>
      <w:r>
        <w:rPr>
          <w:rFonts w:hint="eastAsia" w:ascii="仿宋" w:hAnsi="仿宋" w:eastAsia="仿宋"/>
          <w:bCs/>
          <w:sz w:val="24"/>
          <w:szCs w:val="24"/>
          <w:lang w:val="en-US" w:eastAsia="zh-CN"/>
        </w:rPr>
        <w:t>威海市皓程置业有限公司</w:t>
      </w:r>
      <w:r>
        <w:rPr>
          <w:rFonts w:hint="eastAsia" w:ascii="仿宋" w:hAnsi="仿宋" w:eastAsia="仿宋"/>
          <w:sz w:val="24"/>
          <w:szCs w:val="24"/>
        </w:rPr>
        <w:t>重整案甲方向乙方提供的所有商业秘密、技术秘密以及其他有关未向社会公开的信息，无论是书面、口头、图形、符号、图像、电子或其它任何形式的信息。</w:t>
      </w:r>
    </w:p>
    <w:p w14:paraId="4C6A7A37">
      <w:pPr>
        <w:spacing w:line="360" w:lineRule="auto"/>
        <w:ind w:firstLine="480" w:firstLineChars="200"/>
        <w:rPr>
          <w:rFonts w:ascii="仿宋" w:hAnsi="仿宋" w:eastAsia="仿宋"/>
          <w:b/>
          <w:sz w:val="24"/>
          <w:szCs w:val="24"/>
        </w:rPr>
      </w:pPr>
      <w:r>
        <w:rPr>
          <w:rFonts w:hint="eastAsia" w:ascii="仿宋" w:hAnsi="仿宋" w:eastAsia="仿宋"/>
          <w:b/>
          <w:sz w:val="24"/>
          <w:szCs w:val="24"/>
        </w:rPr>
        <w:t>二、乙方的保密责任人员范围</w:t>
      </w:r>
    </w:p>
    <w:p w14:paraId="344D5613">
      <w:pPr>
        <w:spacing w:line="360" w:lineRule="auto"/>
        <w:ind w:firstLine="480" w:firstLineChars="200"/>
        <w:rPr>
          <w:rFonts w:ascii="仿宋" w:hAnsi="仿宋" w:eastAsia="仿宋"/>
          <w:bCs/>
          <w:sz w:val="24"/>
          <w:szCs w:val="24"/>
        </w:rPr>
      </w:pPr>
      <w:r>
        <w:rPr>
          <w:rFonts w:hint="eastAsia" w:ascii="仿宋" w:hAnsi="仿宋" w:eastAsia="仿宋"/>
          <w:bCs/>
          <w:sz w:val="24"/>
          <w:szCs w:val="24"/>
        </w:rPr>
        <w:t>乙方的保密责任人员范围包括但不限于乙方人员（包括但不限于乙方接触保密信息的职员、委托代表人、顾问、雇佣或聘用人员及其他为乙方提供劳动或服务的人员）及乙方聘请的参与尽职调查的中介方人员（包括但不限于乙方聘请的律师事务所、审计机构、评估机构以及其他相关中介方的工作人员）。</w:t>
      </w:r>
    </w:p>
    <w:p w14:paraId="15EBECC6">
      <w:pPr>
        <w:spacing w:line="360" w:lineRule="auto"/>
        <w:ind w:firstLine="480" w:firstLineChars="200"/>
        <w:rPr>
          <w:rFonts w:ascii="仿宋" w:hAnsi="仿宋" w:eastAsia="仿宋"/>
          <w:b/>
          <w:sz w:val="24"/>
          <w:szCs w:val="24"/>
        </w:rPr>
      </w:pPr>
      <w:r>
        <w:rPr>
          <w:rFonts w:hint="eastAsia" w:ascii="仿宋" w:hAnsi="仿宋" w:eastAsia="仿宋"/>
          <w:b/>
          <w:sz w:val="24"/>
          <w:szCs w:val="24"/>
        </w:rPr>
        <w:t>三、乙方的保密责任</w:t>
      </w:r>
    </w:p>
    <w:p w14:paraId="16E7218D">
      <w:pPr>
        <w:spacing w:line="360" w:lineRule="auto"/>
        <w:ind w:firstLine="480" w:firstLineChars="200"/>
        <w:rPr>
          <w:rFonts w:ascii="仿宋" w:hAnsi="仿宋" w:eastAsia="仿宋"/>
          <w:bCs/>
          <w:sz w:val="24"/>
          <w:szCs w:val="24"/>
        </w:rPr>
      </w:pPr>
      <w:r>
        <w:rPr>
          <w:rFonts w:hint="eastAsia" w:ascii="仿宋" w:hAnsi="仿宋" w:eastAsia="仿宋"/>
          <w:sz w:val="24"/>
          <w:szCs w:val="24"/>
        </w:rPr>
        <w:t>（一）</w:t>
      </w:r>
      <w:r>
        <w:rPr>
          <w:rFonts w:hint="eastAsia" w:ascii="仿宋" w:hAnsi="仿宋" w:eastAsia="仿宋"/>
          <w:bCs/>
          <w:sz w:val="24"/>
          <w:szCs w:val="24"/>
        </w:rPr>
        <w:t>乙方保证采取必要的方法对甲方提供的信息严格保密，非因对</w:t>
      </w:r>
      <w:r>
        <w:rPr>
          <w:rFonts w:hint="eastAsia" w:ascii="仿宋" w:hAnsi="仿宋" w:eastAsia="仿宋"/>
          <w:bCs/>
          <w:sz w:val="24"/>
          <w:szCs w:val="24"/>
          <w:lang w:val="en-US" w:eastAsia="zh-CN"/>
        </w:rPr>
        <w:t>威海市皓程置业有限公司</w:t>
      </w:r>
      <w:r>
        <w:rPr>
          <w:rFonts w:hint="eastAsia" w:ascii="仿宋" w:hAnsi="仿宋" w:eastAsia="仿宋"/>
          <w:bCs/>
          <w:sz w:val="24"/>
          <w:szCs w:val="24"/>
        </w:rPr>
        <w:t>重整投资所需，不得直接或间接使用保密信息，也不得向任何第三方披露保密信息。</w:t>
      </w:r>
    </w:p>
    <w:p w14:paraId="51A308C8">
      <w:pPr>
        <w:spacing w:line="360" w:lineRule="auto"/>
        <w:ind w:firstLine="480" w:firstLineChars="200"/>
        <w:rPr>
          <w:rFonts w:ascii="仿宋" w:hAnsi="仿宋" w:eastAsia="仿宋"/>
          <w:bCs/>
          <w:sz w:val="24"/>
          <w:szCs w:val="24"/>
        </w:rPr>
      </w:pPr>
      <w:r>
        <w:rPr>
          <w:rFonts w:hint="eastAsia" w:ascii="仿宋" w:hAnsi="仿宋" w:eastAsia="仿宋"/>
          <w:bCs/>
          <w:sz w:val="24"/>
          <w:szCs w:val="24"/>
        </w:rPr>
        <w:t>（二）乙方通过尽调所获悉的信息只能用于对</w:t>
      </w:r>
      <w:r>
        <w:rPr>
          <w:rFonts w:hint="eastAsia" w:ascii="仿宋" w:hAnsi="仿宋" w:eastAsia="仿宋"/>
          <w:bCs/>
          <w:sz w:val="24"/>
          <w:szCs w:val="24"/>
          <w:lang w:val="en-US" w:eastAsia="zh-CN"/>
        </w:rPr>
        <w:t>威海市皓程置业有限公司</w:t>
      </w:r>
      <w:r>
        <w:rPr>
          <w:rFonts w:hint="eastAsia" w:ascii="仿宋" w:hAnsi="仿宋" w:eastAsia="仿宋"/>
          <w:bCs/>
          <w:sz w:val="24"/>
          <w:szCs w:val="24"/>
        </w:rPr>
        <w:t>重整投资事项，不得用于其它任何目的。因法院或其他司法机关、行政机关的要求，或者交易审批的需要，乙方必须披露通过尽调所获悉的相关信息的，需事先将拟进行披露的内容通知甲方，经甲方同意后方可披露。</w:t>
      </w:r>
    </w:p>
    <w:p w14:paraId="5B43B542">
      <w:pPr>
        <w:spacing w:line="360" w:lineRule="auto"/>
        <w:ind w:firstLine="480" w:firstLineChars="200"/>
        <w:rPr>
          <w:rFonts w:ascii="仿宋" w:hAnsi="仿宋" w:eastAsia="仿宋"/>
          <w:bCs/>
          <w:sz w:val="24"/>
          <w:szCs w:val="24"/>
        </w:rPr>
      </w:pPr>
      <w:r>
        <w:rPr>
          <w:rFonts w:hint="eastAsia" w:ascii="仿宋" w:hAnsi="仿宋" w:eastAsia="仿宋"/>
          <w:bCs/>
          <w:sz w:val="24"/>
          <w:szCs w:val="24"/>
        </w:rPr>
        <w:t>（三）乙方不得将其本协议项下的权利和义务转让给第三方。</w:t>
      </w:r>
    </w:p>
    <w:p w14:paraId="2AABA6D1">
      <w:pPr>
        <w:spacing w:line="360" w:lineRule="auto"/>
        <w:ind w:firstLine="480" w:firstLineChars="200"/>
        <w:rPr>
          <w:rFonts w:ascii="仿宋" w:hAnsi="仿宋" w:eastAsia="仿宋"/>
          <w:b/>
          <w:sz w:val="24"/>
          <w:szCs w:val="24"/>
        </w:rPr>
      </w:pPr>
      <w:r>
        <w:rPr>
          <w:rFonts w:hint="eastAsia" w:ascii="仿宋" w:hAnsi="仿宋" w:eastAsia="仿宋"/>
          <w:b/>
          <w:sz w:val="24"/>
          <w:szCs w:val="24"/>
        </w:rPr>
        <w:t>四、</w:t>
      </w:r>
      <w:bookmarkStart w:id="0" w:name="_Hlk110103810"/>
      <w:r>
        <w:rPr>
          <w:rFonts w:hint="eastAsia" w:ascii="仿宋" w:hAnsi="仿宋" w:eastAsia="仿宋"/>
          <w:b/>
          <w:sz w:val="24"/>
          <w:szCs w:val="24"/>
        </w:rPr>
        <w:t>尽职调查保证金</w:t>
      </w:r>
      <w:bookmarkEnd w:id="0"/>
      <w:r>
        <w:rPr>
          <w:rFonts w:hint="eastAsia" w:ascii="仿宋" w:hAnsi="仿宋" w:eastAsia="仿宋"/>
          <w:b/>
          <w:sz w:val="24"/>
          <w:szCs w:val="24"/>
        </w:rPr>
        <w:t>约定</w:t>
      </w:r>
    </w:p>
    <w:p w14:paraId="2AF2E6A1">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（一）尽职调查保证金金额</w:t>
      </w:r>
    </w:p>
    <w:p w14:paraId="46482FE0">
      <w:pPr>
        <w:spacing w:line="360" w:lineRule="auto"/>
        <w:ind w:left="239" w:leftChars="114" w:firstLine="240" w:firstLineChars="100"/>
        <w:jc w:val="left"/>
        <w:rPr>
          <w:rFonts w:ascii="仿宋" w:hAnsi="仿宋" w:eastAsia="仿宋"/>
          <w:sz w:val="24"/>
          <w:szCs w:val="24"/>
          <w:highlight w:val="yellow"/>
        </w:rPr>
      </w:pPr>
      <w:r>
        <w:rPr>
          <w:rFonts w:hint="eastAsia" w:ascii="仿宋" w:hAnsi="仿宋" w:eastAsia="仿宋"/>
          <w:sz w:val="24"/>
          <w:szCs w:val="24"/>
        </w:rPr>
        <w:t>若乙方需要尽调，应于本协议签订之日向甲方交纳尽职调查保证金人民币</w:t>
      </w:r>
      <w:r>
        <w:rPr>
          <w:rFonts w:hint="eastAsia" w:ascii="仿宋" w:hAnsi="仿宋" w:eastAsia="仿宋"/>
          <w:sz w:val="24"/>
          <w:szCs w:val="24"/>
          <w:u w:val="single"/>
          <w:lang w:val="en-US" w:eastAsia="zh-CN"/>
        </w:rPr>
        <w:t xml:space="preserve">  </w:t>
      </w:r>
      <w:r>
        <w:rPr>
          <w:rFonts w:hint="eastAsia" w:ascii="仿宋" w:hAnsi="仿宋" w:eastAsia="仿宋"/>
          <w:sz w:val="24"/>
          <w:szCs w:val="24"/>
          <w:highlight w:val="none"/>
        </w:rPr>
        <w:t>整（小写：</w:t>
      </w:r>
      <w:r>
        <w:rPr>
          <w:rFonts w:ascii="Calibri" w:hAnsi="Calibri" w:eastAsia="仿宋" w:cs="Calibri"/>
          <w:sz w:val="24"/>
          <w:szCs w:val="24"/>
          <w:highlight w:val="none"/>
        </w:rPr>
        <w:t>¥</w:t>
      </w:r>
      <w:r>
        <w:rPr>
          <w:rFonts w:hint="eastAsia" w:ascii="Calibri" w:hAnsi="Calibri" w:eastAsia="仿宋" w:cs="Calibri"/>
          <w:sz w:val="24"/>
          <w:szCs w:val="24"/>
          <w:highlight w:val="none"/>
          <w:lang w:val="en-US" w:eastAsia="zh-CN"/>
        </w:rPr>
        <w:t xml:space="preserve">     </w:t>
      </w:r>
      <w:r>
        <w:rPr>
          <w:rFonts w:hint="eastAsia" w:ascii="仿宋" w:hAnsi="仿宋" w:eastAsia="仿宋"/>
          <w:sz w:val="24"/>
          <w:szCs w:val="24"/>
          <w:highlight w:val="none"/>
        </w:rPr>
        <w:t>万元）。</w:t>
      </w:r>
    </w:p>
    <w:p w14:paraId="630F8A00">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（二）尽职调查保证金交纳方式</w:t>
      </w:r>
    </w:p>
    <w:p w14:paraId="4D81457A">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尽职调查保证金以货币方式交纳。甲方指定的收款账户信息如下：</w:t>
      </w:r>
      <w:r>
        <w:rPr>
          <w:rFonts w:ascii="仿宋" w:hAnsi="仿宋" w:eastAsia="仿宋"/>
          <w:sz w:val="24"/>
          <w:szCs w:val="24"/>
        </w:rPr>
        <w:t xml:space="preserve"> </w:t>
      </w:r>
    </w:p>
    <w:p w14:paraId="0A0FD490">
      <w:pPr>
        <w:spacing w:line="640" w:lineRule="exact"/>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户名：</w:t>
      </w:r>
      <w:r>
        <w:rPr>
          <w:rFonts w:hint="eastAsia" w:ascii="仿宋" w:hAnsi="仿宋" w:eastAsia="仿宋" w:cs="仿宋"/>
          <w:color w:val="auto"/>
          <w:kern w:val="0"/>
          <w:sz w:val="24"/>
          <w:szCs w:val="24"/>
          <w:highlight w:val="none"/>
          <w:lang w:val="en-US" w:eastAsia="zh-CN"/>
        </w:rPr>
        <w:t>威海市皓程置业有限公司</w:t>
      </w:r>
      <w:r>
        <w:rPr>
          <w:rFonts w:hint="eastAsia" w:ascii="仿宋" w:hAnsi="仿宋" w:eastAsia="仿宋" w:cs="仿宋"/>
          <w:color w:val="auto"/>
          <w:kern w:val="0"/>
          <w:sz w:val="24"/>
          <w:szCs w:val="24"/>
          <w:highlight w:val="none"/>
        </w:rPr>
        <w:t>管理人；</w:t>
      </w:r>
    </w:p>
    <w:p w14:paraId="66F4FDFD">
      <w:pPr>
        <w:spacing w:line="640" w:lineRule="exact"/>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开户行：</w:t>
      </w:r>
      <w:r>
        <w:rPr>
          <w:rFonts w:hint="eastAsia" w:ascii="仿宋" w:hAnsi="仿宋" w:eastAsia="仿宋" w:cs="仿宋"/>
          <w:color w:val="auto"/>
          <w:kern w:val="0"/>
          <w:sz w:val="24"/>
          <w:szCs w:val="24"/>
          <w:highlight w:val="none"/>
          <w:lang w:val="en-US" w:eastAsia="zh-CN"/>
        </w:rPr>
        <w:t>平安银行威海分行营业部</w:t>
      </w:r>
      <w:r>
        <w:rPr>
          <w:rFonts w:hint="eastAsia" w:ascii="仿宋" w:hAnsi="仿宋" w:eastAsia="仿宋" w:cs="仿宋"/>
          <w:color w:val="auto"/>
          <w:kern w:val="0"/>
          <w:sz w:val="24"/>
          <w:szCs w:val="24"/>
          <w:highlight w:val="none"/>
        </w:rPr>
        <w:t>；</w:t>
      </w:r>
    </w:p>
    <w:p w14:paraId="37893CE4">
      <w:pPr>
        <w:spacing w:line="640" w:lineRule="exact"/>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账号：</w:t>
      </w:r>
      <w:r>
        <w:rPr>
          <w:rFonts w:hint="eastAsia" w:ascii="仿宋" w:hAnsi="仿宋" w:eastAsia="仿宋" w:cs="仿宋"/>
          <w:color w:val="auto"/>
          <w:kern w:val="0"/>
          <w:sz w:val="24"/>
          <w:szCs w:val="24"/>
          <w:highlight w:val="none"/>
          <w:lang w:val="en-US" w:eastAsia="zh-CN"/>
        </w:rPr>
        <w:t>1500 0725 2200 82</w:t>
      </w:r>
      <w:r>
        <w:rPr>
          <w:rFonts w:hint="eastAsia" w:ascii="仿宋" w:hAnsi="仿宋" w:eastAsia="仿宋" w:cs="仿宋"/>
          <w:color w:val="auto"/>
          <w:kern w:val="0"/>
          <w:sz w:val="24"/>
          <w:szCs w:val="24"/>
          <w:highlight w:val="none"/>
        </w:rPr>
        <w:t>。</w:t>
      </w:r>
    </w:p>
    <w:p w14:paraId="59B048A7">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（三）乙方交纳尽职调查保证金后方可开始进行尽职调查。</w:t>
      </w:r>
    </w:p>
    <w:p w14:paraId="44C2C4A2">
      <w:pPr>
        <w:spacing w:line="360" w:lineRule="auto"/>
        <w:ind w:firstLine="480" w:firstLineChars="200"/>
        <w:rPr>
          <w:rFonts w:ascii="仿宋" w:hAnsi="仿宋" w:eastAsia="仿宋"/>
          <w:sz w:val="24"/>
          <w:szCs w:val="24"/>
        </w:rPr>
      </w:pPr>
      <w:r>
        <w:rPr>
          <w:rFonts w:hint="eastAsia" w:ascii="仿宋" w:hAnsi="仿宋" w:eastAsia="仿宋"/>
          <w:sz w:val="24"/>
          <w:szCs w:val="24"/>
        </w:rPr>
        <w:t>（四）尽调保证金的使用</w:t>
      </w:r>
    </w:p>
    <w:p w14:paraId="174ACC9B">
      <w:pPr>
        <w:spacing w:line="360" w:lineRule="auto"/>
        <w:ind w:firstLine="480" w:firstLineChars="200"/>
        <w:rPr>
          <w:rFonts w:ascii="仿宋" w:hAnsi="仿宋" w:eastAsia="仿宋"/>
          <w:sz w:val="24"/>
          <w:szCs w:val="24"/>
        </w:rPr>
      </w:pPr>
      <w:r>
        <w:rPr>
          <w:rFonts w:hint="eastAsia" w:ascii="仿宋" w:hAnsi="仿宋" w:eastAsia="仿宋"/>
          <w:sz w:val="24"/>
          <w:szCs w:val="24"/>
        </w:rPr>
        <w:t>乙方提交《重整投资方案》后，所交纳的尽调保证金将根据《意向重整投资协议》的约定转为等额的“意向重整投资保证金”。</w:t>
      </w:r>
    </w:p>
    <w:p w14:paraId="6D62304A">
      <w:pPr>
        <w:spacing w:line="360" w:lineRule="auto"/>
        <w:ind w:firstLine="480" w:firstLineChars="200"/>
        <w:rPr>
          <w:rFonts w:ascii="仿宋" w:hAnsi="仿宋" w:eastAsia="仿宋"/>
          <w:sz w:val="24"/>
          <w:szCs w:val="24"/>
        </w:rPr>
      </w:pPr>
      <w:r>
        <w:rPr>
          <w:rFonts w:hint="eastAsia" w:ascii="仿宋" w:hAnsi="仿宋" w:eastAsia="仿宋"/>
          <w:sz w:val="24"/>
          <w:szCs w:val="24"/>
        </w:rPr>
        <w:t>（五）尽调保证金的没收</w:t>
      </w:r>
    </w:p>
    <w:p w14:paraId="04B8FECE">
      <w:pPr>
        <w:spacing w:line="360" w:lineRule="auto"/>
        <w:ind w:firstLine="480" w:firstLineChars="200"/>
        <w:rPr>
          <w:rFonts w:ascii="仿宋" w:hAnsi="仿宋" w:eastAsia="仿宋"/>
          <w:sz w:val="24"/>
          <w:szCs w:val="24"/>
        </w:rPr>
      </w:pPr>
      <w:r>
        <w:rPr>
          <w:rFonts w:hint="eastAsia" w:ascii="仿宋" w:hAnsi="仿宋" w:eastAsia="仿宋"/>
          <w:sz w:val="24"/>
          <w:szCs w:val="24"/>
        </w:rPr>
        <w:t>若乙方违反《尽职调查保密协议》约定的，所交纳的尽调保证金不予退还，全部没收归债务人财产。</w:t>
      </w:r>
    </w:p>
    <w:p w14:paraId="4D5D3FB8">
      <w:pPr>
        <w:spacing w:line="360" w:lineRule="auto"/>
        <w:ind w:firstLine="480" w:firstLineChars="200"/>
        <w:rPr>
          <w:rFonts w:ascii="仿宋" w:hAnsi="仿宋" w:eastAsia="仿宋"/>
          <w:sz w:val="24"/>
          <w:szCs w:val="24"/>
        </w:rPr>
      </w:pPr>
      <w:r>
        <w:rPr>
          <w:rFonts w:hint="eastAsia" w:ascii="仿宋" w:hAnsi="仿宋" w:eastAsia="仿宋"/>
          <w:sz w:val="24"/>
          <w:szCs w:val="24"/>
        </w:rPr>
        <w:t>（六）尽调保证金的退还</w:t>
      </w:r>
    </w:p>
    <w:p w14:paraId="0D62565B">
      <w:pPr>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rPr>
        <w:t>乙方已</w:t>
      </w:r>
      <w:r>
        <w:rPr>
          <w:rFonts w:hint="eastAsia" w:ascii="仿宋" w:hAnsi="仿宋" w:eastAsia="仿宋" w:cs="仿宋_GB2312"/>
          <w:kern w:val="0"/>
          <w:sz w:val="24"/>
          <w:szCs w:val="24"/>
        </w:rPr>
        <w:t>与甲方签订《尽职调查保密协议》并</w:t>
      </w:r>
      <w:r>
        <w:rPr>
          <w:rFonts w:hint="eastAsia" w:ascii="仿宋" w:hAnsi="仿宋" w:eastAsia="仿宋"/>
          <w:sz w:val="24"/>
          <w:szCs w:val="24"/>
        </w:rPr>
        <w:t>交纳尽调保证金，但未在规定时间内提交《重整计划方案》的，视为放弃重整投资人竞选资格。若乙方没有违反《尽职调查保密协议》的约定，尽调保证金将无息原路退还</w:t>
      </w:r>
      <w:r>
        <w:rPr>
          <w:rFonts w:hint="eastAsia" w:ascii="仿宋" w:hAnsi="仿宋" w:eastAsia="仿宋"/>
          <w:sz w:val="24"/>
          <w:szCs w:val="24"/>
          <w:lang w:eastAsia="zh-CN"/>
        </w:rPr>
        <w:t>。</w:t>
      </w:r>
    </w:p>
    <w:p w14:paraId="1337BB4B">
      <w:pPr>
        <w:spacing w:line="360" w:lineRule="auto"/>
        <w:ind w:firstLine="480" w:firstLineChars="200"/>
        <w:jc w:val="left"/>
        <w:rPr>
          <w:rFonts w:ascii="仿宋" w:hAnsi="仿宋" w:eastAsia="仿宋"/>
          <w:b/>
          <w:sz w:val="24"/>
          <w:szCs w:val="24"/>
        </w:rPr>
      </w:pPr>
      <w:r>
        <w:rPr>
          <w:rFonts w:hint="eastAsia" w:ascii="仿宋" w:hAnsi="仿宋" w:eastAsia="仿宋"/>
          <w:b/>
          <w:sz w:val="24"/>
          <w:szCs w:val="24"/>
        </w:rPr>
        <w:t>五、保密信息的交回</w:t>
      </w:r>
    </w:p>
    <w:p w14:paraId="3D775112">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一）当甲方以书面形式要求乙方交回保密信息时，乙方应立即交回所有书面的或其他有形的保密信息以及所有描述和概括该保密信息的文件。乙方在交回以上有关资料前，未经甲方书面同意，不得采取抄写、复印、拷贝等任何方式留存保密信息。</w:t>
      </w:r>
    </w:p>
    <w:p w14:paraId="538B3364">
      <w:pPr>
        <w:spacing w:line="360" w:lineRule="auto"/>
        <w:ind w:firstLine="480" w:firstLineChars="200"/>
        <w:jc w:val="left"/>
        <w:rPr>
          <w:rFonts w:ascii="仿宋" w:hAnsi="仿宋" w:eastAsia="仿宋"/>
          <w:b/>
          <w:sz w:val="24"/>
          <w:szCs w:val="24"/>
        </w:rPr>
      </w:pPr>
      <w:r>
        <w:rPr>
          <w:rFonts w:hint="eastAsia" w:ascii="仿宋" w:hAnsi="仿宋" w:eastAsia="仿宋"/>
          <w:sz w:val="24"/>
          <w:szCs w:val="24"/>
        </w:rPr>
        <w:t>（二）未经甲方书面同意，乙方不得丢弃和处理任何书面的或其他有形的保密信息。</w:t>
      </w:r>
    </w:p>
    <w:p w14:paraId="5FAEB382">
      <w:pPr>
        <w:spacing w:line="360" w:lineRule="auto"/>
        <w:ind w:firstLine="480" w:firstLineChars="200"/>
        <w:rPr>
          <w:rFonts w:ascii="仿宋" w:hAnsi="仿宋" w:eastAsia="仿宋"/>
          <w:b/>
          <w:sz w:val="24"/>
          <w:szCs w:val="24"/>
        </w:rPr>
      </w:pPr>
      <w:r>
        <w:rPr>
          <w:rFonts w:hint="eastAsia" w:ascii="仿宋" w:hAnsi="仿宋" w:eastAsia="仿宋"/>
          <w:b/>
          <w:sz w:val="24"/>
          <w:szCs w:val="24"/>
        </w:rPr>
        <w:t>六、保密期限</w:t>
      </w:r>
    </w:p>
    <w:p w14:paraId="2BFB3861">
      <w:pPr>
        <w:spacing w:line="360" w:lineRule="auto"/>
        <w:ind w:firstLine="480" w:firstLineChars="200"/>
        <w:rPr>
          <w:rFonts w:ascii="仿宋" w:hAnsi="仿宋" w:eastAsia="仿宋"/>
          <w:sz w:val="24"/>
          <w:szCs w:val="24"/>
        </w:rPr>
      </w:pPr>
      <w:r>
        <w:rPr>
          <w:rFonts w:hint="eastAsia" w:ascii="仿宋" w:hAnsi="仿宋" w:eastAsia="仿宋"/>
          <w:sz w:val="24"/>
          <w:szCs w:val="24"/>
        </w:rPr>
        <w:t>除非甲方以书面形式通知乙方明确说明本保密协议中涉及的某项保密信息可以不用保密，否则，乙方所获悉的保密信息在被社会公知前，乙方必须严格履行保密义务。</w:t>
      </w:r>
    </w:p>
    <w:p w14:paraId="4468E53A">
      <w:pPr>
        <w:spacing w:line="360" w:lineRule="auto"/>
        <w:ind w:firstLine="480" w:firstLineChars="200"/>
        <w:rPr>
          <w:rFonts w:ascii="仿宋" w:hAnsi="仿宋" w:eastAsia="仿宋"/>
          <w:b/>
          <w:sz w:val="24"/>
          <w:szCs w:val="24"/>
        </w:rPr>
      </w:pPr>
      <w:r>
        <w:rPr>
          <w:rFonts w:hint="eastAsia" w:ascii="仿宋" w:hAnsi="仿宋" w:eastAsia="仿宋"/>
          <w:b/>
          <w:sz w:val="24"/>
          <w:szCs w:val="24"/>
        </w:rPr>
        <w:t>七、通知及送达</w:t>
      </w:r>
    </w:p>
    <w:p w14:paraId="072EC641">
      <w:pPr>
        <w:spacing w:line="360" w:lineRule="auto"/>
        <w:ind w:firstLine="480" w:firstLineChars="200"/>
        <w:rPr>
          <w:rFonts w:ascii="仿宋" w:hAnsi="仿宋" w:eastAsia="仿宋"/>
          <w:sz w:val="24"/>
          <w:szCs w:val="24"/>
        </w:rPr>
      </w:pPr>
      <w:r>
        <w:rPr>
          <w:rFonts w:hint="eastAsia" w:ascii="仿宋" w:hAnsi="仿宋" w:eastAsia="仿宋"/>
          <w:sz w:val="24"/>
          <w:szCs w:val="24"/>
        </w:rPr>
        <w:t>（一）任何一方向另一方送达与本合同有关的通知以及其他相关文书（以下统称：文件）均应采用书面形式、并应采取以下一种或多种方式进行送达：</w:t>
      </w:r>
    </w:p>
    <w:p w14:paraId="28785979">
      <w:pPr>
        <w:spacing w:line="360" w:lineRule="auto"/>
        <w:ind w:firstLine="480" w:firstLineChars="200"/>
        <w:rPr>
          <w:rFonts w:ascii="仿宋" w:hAnsi="仿宋" w:eastAsia="仿宋"/>
          <w:sz w:val="24"/>
          <w:szCs w:val="24"/>
        </w:rPr>
      </w:pPr>
      <w:r>
        <w:rPr>
          <w:rFonts w:hint="eastAsia" w:ascii="仿宋" w:hAnsi="仿宋" w:eastAsia="仿宋"/>
          <w:sz w:val="24"/>
          <w:szCs w:val="24"/>
        </w:rPr>
        <w:t>1、直接送达：受送达人签字或盖章即为送达，签收日期为送达日期。受送达人虽未签字或盖章，但送达方有证据证明相关文件送给受送达人的，视为送达。</w:t>
      </w:r>
    </w:p>
    <w:p w14:paraId="398C888B">
      <w:pPr>
        <w:spacing w:line="360" w:lineRule="auto"/>
        <w:ind w:firstLine="480" w:firstLineChars="200"/>
        <w:rPr>
          <w:rFonts w:ascii="仿宋" w:hAnsi="仿宋" w:eastAsia="仿宋"/>
          <w:sz w:val="24"/>
          <w:szCs w:val="24"/>
        </w:rPr>
      </w:pPr>
      <w:r>
        <w:rPr>
          <w:rFonts w:hint="eastAsia" w:ascii="仿宋" w:hAnsi="仿宋" w:eastAsia="仿宋"/>
          <w:sz w:val="24"/>
          <w:szCs w:val="24"/>
        </w:rPr>
        <w:t>2、特快专递送达：受送达人签收的，以实际收件日期为送达日期；受送达人未签收的（包括拒收、退件或联系不上等），同城自邮件发送后第</w:t>
      </w:r>
      <w:r>
        <w:rPr>
          <w:rFonts w:ascii="仿宋" w:hAnsi="仿宋" w:eastAsia="仿宋"/>
          <w:sz w:val="24"/>
          <w:szCs w:val="24"/>
        </w:rPr>
        <w:t>2</w:t>
      </w:r>
      <w:r>
        <w:rPr>
          <w:rFonts w:hint="eastAsia" w:ascii="仿宋" w:hAnsi="仿宋" w:eastAsia="仿宋"/>
          <w:sz w:val="24"/>
          <w:szCs w:val="24"/>
        </w:rPr>
        <w:t>日视为送达，异地自邮件发送后第</w:t>
      </w:r>
      <w:r>
        <w:rPr>
          <w:rFonts w:ascii="仿宋" w:hAnsi="仿宋" w:eastAsia="仿宋"/>
          <w:sz w:val="24"/>
          <w:szCs w:val="24"/>
        </w:rPr>
        <w:t>4</w:t>
      </w:r>
      <w:r>
        <w:rPr>
          <w:rFonts w:hint="eastAsia" w:ascii="仿宋" w:hAnsi="仿宋" w:eastAsia="仿宋"/>
          <w:sz w:val="24"/>
          <w:szCs w:val="24"/>
        </w:rPr>
        <w:t>日视为送达，境外自邮件发送后第15日视为送达。</w:t>
      </w:r>
    </w:p>
    <w:p w14:paraId="4E93EB92">
      <w:pPr>
        <w:spacing w:line="360" w:lineRule="auto"/>
        <w:ind w:firstLine="480" w:firstLineChars="200"/>
        <w:rPr>
          <w:rFonts w:ascii="仿宋" w:hAnsi="仿宋" w:eastAsia="仿宋"/>
          <w:sz w:val="24"/>
          <w:szCs w:val="24"/>
        </w:rPr>
      </w:pPr>
      <w:r>
        <w:rPr>
          <w:rFonts w:hint="eastAsia" w:ascii="仿宋" w:hAnsi="仿宋" w:eastAsia="仿宋"/>
          <w:sz w:val="24"/>
          <w:szCs w:val="24"/>
        </w:rPr>
        <w:t>3、电子送达：采用电子邮件、手机短信、微信送达的，文件发送之日即视为送达。</w:t>
      </w:r>
    </w:p>
    <w:p w14:paraId="276A8FD8">
      <w:pPr>
        <w:spacing w:line="360" w:lineRule="auto"/>
        <w:ind w:firstLine="480" w:firstLineChars="200"/>
        <w:rPr>
          <w:rFonts w:ascii="仿宋" w:hAnsi="仿宋" w:eastAsia="仿宋"/>
          <w:sz w:val="24"/>
          <w:szCs w:val="24"/>
        </w:rPr>
      </w:pPr>
      <w:r>
        <w:rPr>
          <w:rFonts w:hint="eastAsia" w:ascii="仿宋" w:hAnsi="仿宋" w:eastAsia="仿宋"/>
          <w:sz w:val="24"/>
          <w:szCs w:val="24"/>
        </w:rPr>
        <w:t>4、同时选择以上多种方式送达的，以最先到达的日期为送达日期。</w:t>
      </w:r>
    </w:p>
    <w:p w14:paraId="2ECF6A86">
      <w:pPr>
        <w:spacing w:line="360" w:lineRule="auto"/>
        <w:ind w:firstLine="480" w:firstLineChars="200"/>
        <w:rPr>
          <w:rFonts w:ascii="仿宋" w:hAnsi="仿宋" w:eastAsia="仿宋"/>
          <w:sz w:val="24"/>
          <w:szCs w:val="24"/>
        </w:rPr>
      </w:pPr>
      <w:r>
        <w:rPr>
          <w:rFonts w:hint="eastAsia" w:ascii="仿宋" w:hAnsi="仿宋" w:eastAsia="仿宋"/>
          <w:sz w:val="24"/>
          <w:szCs w:val="24"/>
        </w:rPr>
        <w:t>（二）送达地址</w:t>
      </w:r>
    </w:p>
    <w:p w14:paraId="45A166D2">
      <w:pPr>
        <w:spacing w:line="360" w:lineRule="auto"/>
        <w:ind w:firstLine="480" w:firstLineChars="200"/>
        <w:rPr>
          <w:rFonts w:ascii="仿宋" w:hAnsi="仿宋" w:eastAsia="仿宋"/>
          <w:sz w:val="24"/>
          <w:szCs w:val="24"/>
        </w:rPr>
      </w:pPr>
      <w:r>
        <w:rPr>
          <w:rFonts w:hint="eastAsia" w:ascii="仿宋" w:hAnsi="仿宋" w:eastAsia="仿宋"/>
          <w:sz w:val="24"/>
          <w:szCs w:val="24"/>
        </w:rPr>
        <w:t>1、任何一方向相对方送达与本合同有关的通知或文件，均应按照本合同落款处载明的通讯信息进行送达</w:t>
      </w:r>
      <w:r>
        <w:rPr>
          <w:rFonts w:hint="eastAsia" w:ascii="仿宋" w:hAnsi="仿宋" w:eastAsia="仿宋"/>
          <w:sz w:val="24"/>
          <w:szCs w:val="24"/>
          <w:lang w:eastAsia="zh-CN"/>
        </w:rPr>
        <w:t>。</w:t>
      </w:r>
    </w:p>
    <w:p w14:paraId="65786729">
      <w:pPr>
        <w:spacing w:line="360" w:lineRule="auto"/>
        <w:ind w:firstLine="480" w:firstLineChars="200"/>
        <w:rPr>
          <w:rFonts w:ascii="仿宋" w:hAnsi="仿宋" w:eastAsia="仿宋"/>
          <w:sz w:val="24"/>
          <w:szCs w:val="24"/>
        </w:rPr>
      </w:pPr>
      <w:r>
        <w:rPr>
          <w:rFonts w:hint="eastAsia" w:ascii="仿宋" w:hAnsi="仿宋" w:eastAsia="仿宋"/>
          <w:sz w:val="24"/>
          <w:szCs w:val="24"/>
        </w:rPr>
        <w:t>2、双方确认，双方提供的通讯信息真实有效，任何一方的通讯信息发生变更，均须于变更后3日内以书面形式通知另一方；否则，怠于通知的一方应当承担对其不利的法律后果。</w:t>
      </w:r>
    </w:p>
    <w:p w14:paraId="3A60D6F0">
      <w:pPr>
        <w:spacing w:line="360" w:lineRule="auto"/>
        <w:ind w:firstLine="480" w:firstLineChars="200"/>
        <w:rPr>
          <w:rFonts w:ascii="仿宋" w:hAnsi="仿宋" w:eastAsia="仿宋"/>
          <w:sz w:val="24"/>
          <w:szCs w:val="24"/>
        </w:rPr>
      </w:pPr>
      <w:r>
        <w:rPr>
          <w:rFonts w:hint="eastAsia" w:ascii="仿宋" w:hAnsi="仿宋" w:eastAsia="仿宋"/>
          <w:sz w:val="24"/>
          <w:szCs w:val="24"/>
        </w:rPr>
        <w:t>3、任何一方提供的通讯地址或其他相关通讯信息不详、不准确或错误等，由该方承担对其不利的法律后果。</w:t>
      </w:r>
    </w:p>
    <w:p w14:paraId="064458D1">
      <w:pPr>
        <w:spacing w:line="360" w:lineRule="auto"/>
        <w:ind w:firstLine="480" w:firstLineChars="200"/>
        <w:rPr>
          <w:rFonts w:ascii="仿宋" w:hAnsi="仿宋" w:eastAsia="仿宋"/>
          <w:sz w:val="24"/>
          <w:szCs w:val="24"/>
        </w:rPr>
      </w:pPr>
      <w:r>
        <w:rPr>
          <w:rFonts w:hint="eastAsia" w:ascii="仿宋" w:hAnsi="仿宋" w:eastAsia="仿宋"/>
          <w:sz w:val="24"/>
          <w:szCs w:val="24"/>
        </w:rPr>
        <w:t>（三）双方同意，上述通讯信息也是法院向双方送达司法文书及其他书面文件的地址。本合同争议解决过程中，法院通过邮递（包括特快专递、平信邮寄、挂号邮寄）方式将司法文书或其他书面文件送达于上述通讯地址的，以受送达人在送达回证上的签收日为送达日，受送达人未在送达回证上签收的（包括拒收、退件或联系不上等），同城自邮件发送后第</w:t>
      </w:r>
      <w:r>
        <w:rPr>
          <w:rFonts w:ascii="仿宋" w:hAnsi="仿宋" w:eastAsia="仿宋"/>
          <w:sz w:val="24"/>
          <w:szCs w:val="24"/>
        </w:rPr>
        <w:t>2</w:t>
      </w:r>
      <w:r>
        <w:rPr>
          <w:rFonts w:hint="eastAsia" w:ascii="仿宋" w:hAnsi="仿宋" w:eastAsia="仿宋"/>
          <w:sz w:val="24"/>
          <w:szCs w:val="24"/>
        </w:rPr>
        <w:t>日视为送达，异地自邮件发送后第</w:t>
      </w:r>
      <w:r>
        <w:rPr>
          <w:rFonts w:ascii="仿宋" w:hAnsi="仿宋" w:eastAsia="仿宋"/>
          <w:sz w:val="24"/>
          <w:szCs w:val="24"/>
        </w:rPr>
        <w:t>4</w:t>
      </w:r>
      <w:r>
        <w:rPr>
          <w:rFonts w:hint="eastAsia" w:ascii="仿宋" w:hAnsi="仿宋" w:eastAsia="仿宋"/>
          <w:sz w:val="24"/>
          <w:szCs w:val="24"/>
        </w:rPr>
        <w:t>日视为送达，境外自邮件发送后第15日视为送达。</w:t>
      </w:r>
    </w:p>
    <w:p w14:paraId="16A4BB3D">
      <w:pPr>
        <w:spacing w:line="360" w:lineRule="auto"/>
        <w:ind w:firstLine="480" w:firstLineChars="200"/>
        <w:rPr>
          <w:rFonts w:ascii="仿宋" w:hAnsi="仿宋" w:eastAsia="仿宋"/>
          <w:sz w:val="24"/>
          <w:szCs w:val="24"/>
        </w:rPr>
      </w:pPr>
      <w:r>
        <w:rPr>
          <w:rFonts w:hint="eastAsia" w:ascii="仿宋" w:hAnsi="仿宋" w:eastAsia="仿宋"/>
          <w:sz w:val="24"/>
          <w:szCs w:val="24"/>
        </w:rPr>
        <w:t>（四）通知或文件送达后，即视为受送达人完全知悉通知或文件的内容；若受送达人没有按时提出书面异议，视为没有异议；若需要回复而没有按时回复的，由受送达人承担由此产生的一切不利后果。</w:t>
      </w:r>
    </w:p>
    <w:p w14:paraId="61D0874E">
      <w:pPr>
        <w:spacing w:line="360" w:lineRule="auto"/>
        <w:ind w:firstLine="480" w:firstLineChars="200"/>
        <w:rPr>
          <w:rFonts w:ascii="仿宋" w:hAnsi="仿宋" w:eastAsia="仿宋"/>
          <w:b/>
          <w:sz w:val="24"/>
          <w:szCs w:val="24"/>
        </w:rPr>
      </w:pPr>
      <w:r>
        <w:rPr>
          <w:rFonts w:hint="eastAsia" w:ascii="仿宋" w:hAnsi="仿宋" w:eastAsia="仿宋"/>
          <w:b/>
          <w:sz w:val="24"/>
          <w:szCs w:val="24"/>
        </w:rPr>
        <w:t>八、违约责任</w:t>
      </w:r>
    </w:p>
    <w:p w14:paraId="4F8D82DC">
      <w:pPr>
        <w:spacing w:line="360" w:lineRule="auto"/>
        <w:ind w:firstLine="480" w:firstLineChars="200"/>
        <w:rPr>
          <w:rFonts w:ascii="仿宋" w:hAnsi="仿宋" w:eastAsia="仿宋"/>
          <w:bCs/>
          <w:sz w:val="24"/>
          <w:szCs w:val="24"/>
        </w:rPr>
      </w:pPr>
      <w:r>
        <w:rPr>
          <w:rFonts w:hint="eastAsia" w:ascii="仿宋" w:hAnsi="仿宋" w:eastAsia="仿宋"/>
          <w:bCs/>
          <w:sz w:val="24"/>
          <w:szCs w:val="24"/>
        </w:rPr>
        <w:t>在甲方退还尽调保证金前，</w:t>
      </w:r>
      <w:r>
        <w:rPr>
          <w:rFonts w:hint="eastAsia" w:ascii="仿宋" w:hAnsi="仿宋" w:eastAsia="仿宋"/>
          <w:sz w:val="24"/>
          <w:szCs w:val="24"/>
        </w:rPr>
        <w:t>若</w:t>
      </w:r>
      <w:r>
        <w:rPr>
          <w:rFonts w:hint="eastAsia" w:ascii="仿宋" w:hAnsi="仿宋" w:eastAsia="仿宋"/>
          <w:bCs/>
          <w:sz w:val="24"/>
          <w:szCs w:val="24"/>
        </w:rPr>
        <w:t>乙方违反本协议的约定，乙方交纳的保证金不予退还，全部没收归债务人财产；在甲方退还尽调保证金后，</w:t>
      </w:r>
      <w:r>
        <w:rPr>
          <w:rFonts w:hint="eastAsia" w:ascii="仿宋" w:hAnsi="仿宋" w:eastAsia="仿宋"/>
          <w:sz w:val="24"/>
          <w:szCs w:val="24"/>
        </w:rPr>
        <w:t>若</w:t>
      </w:r>
      <w:r>
        <w:rPr>
          <w:rFonts w:hint="eastAsia" w:ascii="仿宋" w:hAnsi="仿宋" w:eastAsia="仿宋"/>
          <w:bCs/>
          <w:sz w:val="24"/>
          <w:szCs w:val="24"/>
        </w:rPr>
        <w:t>乙方违反本协议的约定，乙方需向甲方支付违约金人民币</w:t>
      </w:r>
      <w:r>
        <w:rPr>
          <w:rFonts w:hint="eastAsia" w:ascii="仿宋" w:hAnsi="仿宋" w:eastAsia="仿宋"/>
          <w:bCs/>
          <w:sz w:val="24"/>
          <w:szCs w:val="24"/>
          <w:highlight w:val="none"/>
        </w:rPr>
        <w:t>壹仟万元整（</w:t>
      </w:r>
      <w:r>
        <w:rPr>
          <w:rFonts w:ascii="Calibri" w:hAnsi="Calibri" w:eastAsia="仿宋" w:cs="Calibri"/>
          <w:bCs/>
          <w:sz w:val="24"/>
          <w:szCs w:val="24"/>
          <w:highlight w:val="none"/>
        </w:rPr>
        <w:t>¥</w:t>
      </w:r>
      <w:r>
        <w:rPr>
          <w:rFonts w:ascii="仿宋" w:hAnsi="仿宋" w:eastAsia="仿宋"/>
          <w:bCs/>
          <w:sz w:val="24"/>
          <w:szCs w:val="24"/>
          <w:highlight w:val="none"/>
        </w:rPr>
        <w:t>1000</w:t>
      </w:r>
      <w:r>
        <w:rPr>
          <w:rFonts w:hint="eastAsia" w:ascii="仿宋" w:hAnsi="仿宋" w:eastAsia="仿宋"/>
          <w:bCs/>
          <w:sz w:val="24"/>
          <w:szCs w:val="24"/>
          <w:highlight w:val="none"/>
        </w:rPr>
        <w:t>万元）。如保证金或违约金不足以弥补因乙方违约给</w:t>
      </w:r>
      <w:r>
        <w:rPr>
          <w:rFonts w:hint="eastAsia" w:ascii="仿宋" w:hAnsi="仿宋" w:eastAsia="仿宋"/>
          <w:bCs/>
          <w:sz w:val="24"/>
          <w:szCs w:val="24"/>
          <w:highlight w:val="none"/>
          <w:lang w:val="en-US" w:eastAsia="zh-CN"/>
        </w:rPr>
        <w:t>威海市皓程置业有限公司重整</w:t>
      </w:r>
      <w:r>
        <w:rPr>
          <w:rFonts w:hint="eastAsia" w:ascii="仿宋" w:hAnsi="仿宋" w:eastAsia="仿宋"/>
          <w:bCs/>
          <w:sz w:val="24"/>
          <w:szCs w:val="24"/>
          <w:highlight w:val="none"/>
        </w:rPr>
        <w:t>或甲方造成</w:t>
      </w:r>
      <w:r>
        <w:rPr>
          <w:rFonts w:hint="eastAsia" w:ascii="仿宋" w:hAnsi="仿宋" w:eastAsia="仿宋"/>
          <w:bCs/>
          <w:sz w:val="24"/>
          <w:szCs w:val="24"/>
        </w:rPr>
        <w:t>的损失，甲方有权就不足部分向乙方主张权利。</w:t>
      </w:r>
    </w:p>
    <w:p w14:paraId="28C9EADA">
      <w:pPr>
        <w:spacing w:line="360" w:lineRule="auto"/>
        <w:ind w:firstLine="480" w:firstLineChars="200"/>
        <w:rPr>
          <w:rFonts w:ascii="仿宋" w:hAnsi="仿宋" w:eastAsia="仿宋"/>
          <w:b/>
          <w:bCs/>
          <w:sz w:val="24"/>
          <w:szCs w:val="24"/>
        </w:rPr>
      </w:pPr>
      <w:r>
        <w:rPr>
          <w:rFonts w:hint="eastAsia" w:ascii="仿宋" w:hAnsi="仿宋" w:eastAsia="仿宋"/>
          <w:b/>
          <w:sz w:val="24"/>
          <w:szCs w:val="24"/>
        </w:rPr>
        <w:t>九、</w:t>
      </w:r>
      <w:r>
        <w:rPr>
          <w:rFonts w:hint="eastAsia" w:ascii="仿宋" w:hAnsi="仿宋" w:eastAsia="仿宋"/>
          <w:b/>
          <w:bCs/>
          <w:sz w:val="24"/>
          <w:szCs w:val="24"/>
        </w:rPr>
        <w:t>争议解决</w:t>
      </w:r>
    </w:p>
    <w:p w14:paraId="65437067">
      <w:pPr>
        <w:spacing w:line="360" w:lineRule="auto"/>
        <w:ind w:firstLine="480" w:firstLineChars="200"/>
        <w:rPr>
          <w:rFonts w:ascii="仿宋" w:hAnsi="仿宋" w:eastAsia="仿宋"/>
          <w:bCs/>
          <w:sz w:val="24"/>
          <w:szCs w:val="24"/>
        </w:rPr>
      </w:pPr>
      <w:r>
        <w:rPr>
          <w:rFonts w:hint="eastAsia" w:ascii="仿宋" w:hAnsi="仿宋" w:eastAsia="仿宋"/>
          <w:sz w:val="24"/>
          <w:szCs w:val="24"/>
        </w:rPr>
        <w:t>因本合同而产生的一切争议、纠纷，由甲、乙双方协商解决。协商不成的，依法向荣成市人民法院提起诉讼。</w:t>
      </w:r>
    </w:p>
    <w:p w14:paraId="735FE8A2">
      <w:pPr>
        <w:spacing w:line="360" w:lineRule="auto"/>
        <w:ind w:firstLine="480" w:firstLineChars="200"/>
        <w:rPr>
          <w:rFonts w:ascii="仿宋" w:hAnsi="仿宋" w:eastAsia="仿宋"/>
          <w:b/>
          <w:sz w:val="24"/>
          <w:szCs w:val="24"/>
        </w:rPr>
      </w:pPr>
      <w:r>
        <w:rPr>
          <w:rFonts w:hint="eastAsia" w:ascii="仿宋" w:hAnsi="仿宋" w:eastAsia="仿宋"/>
          <w:b/>
          <w:sz w:val="24"/>
          <w:szCs w:val="24"/>
        </w:rPr>
        <w:t>十、其他</w:t>
      </w:r>
    </w:p>
    <w:p w14:paraId="27CDA314">
      <w:pPr>
        <w:spacing w:line="360" w:lineRule="auto"/>
        <w:ind w:firstLine="480" w:firstLineChars="200"/>
        <w:rPr>
          <w:rFonts w:ascii="仿宋" w:hAnsi="仿宋" w:eastAsia="仿宋"/>
          <w:sz w:val="24"/>
          <w:szCs w:val="24"/>
        </w:rPr>
      </w:pPr>
      <w:r>
        <w:rPr>
          <w:rFonts w:hint="eastAsia" w:ascii="仿宋" w:hAnsi="仿宋" w:eastAsia="仿宋"/>
          <w:sz w:val="24"/>
          <w:szCs w:val="24"/>
        </w:rPr>
        <w:t>本保密协议一式贰份，双方各执壹份；本协议自双方签字或盖章之日起生效。</w:t>
      </w:r>
    </w:p>
    <w:p w14:paraId="41A06F58">
      <w:pPr>
        <w:spacing w:line="360" w:lineRule="auto"/>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（以下无正文）</w:t>
      </w:r>
    </w:p>
    <w:p w14:paraId="527CCA97">
      <w:pPr>
        <w:spacing w:line="360" w:lineRule="auto"/>
        <w:ind w:firstLine="480" w:firstLineChars="200"/>
        <w:rPr>
          <w:rFonts w:ascii="仿宋" w:hAnsi="仿宋" w:eastAsia="仿宋"/>
          <w:bCs/>
          <w:sz w:val="24"/>
          <w:szCs w:val="24"/>
        </w:rPr>
      </w:pPr>
    </w:p>
    <w:p w14:paraId="008BE7D2">
      <w:pPr>
        <w:spacing w:line="360" w:lineRule="auto"/>
        <w:ind w:firstLine="480" w:firstLineChars="200"/>
        <w:rPr>
          <w:rFonts w:ascii="仿宋" w:hAnsi="仿宋" w:eastAsia="仿宋"/>
          <w:bCs/>
          <w:sz w:val="24"/>
          <w:szCs w:val="24"/>
        </w:rPr>
      </w:pPr>
    </w:p>
    <w:p w14:paraId="5B1FB978">
      <w:pPr>
        <w:spacing w:line="360" w:lineRule="auto"/>
        <w:ind w:firstLine="480" w:firstLineChars="200"/>
        <w:rPr>
          <w:rFonts w:ascii="仿宋" w:hAnsi="仿宋" w:eastAsia="仿宋"/>
          <w:sz w:val="24"/>
          <w:szCs w:val="24"/>
        </w:rPr>
      </w:pPr>
      <w:r>
        <w:rPr>
          <w:rFonts w:hint="eastAsia" w:ascii="仿宋" w:hAnsi="仿宋" w:eastAsia="仿宋"/>
          <w:bCs/>
          <w:sz w:val="24"/>
          <w:szCs w:val="24"/>
        </w:rPr>
        <w:t>甲方：</w:t>
      </w:r>
      <w:r>
        <w:rPr>
          <w:rFonts w:hint="eastAsia" w:ascii="仿宋" w:hAnsi="仿宋" w:eastAsia="仿宋"/>
          <w:sz w:val="24"/>
          <w:szCs w:val="24"/>
          <w:lang w:val="en-US" w:eastAsia="zh-CN"/>
        </w:rPr>
        <w:t>威海市皓程置业有限公司</w:t>
      </w:r>
      <w:r>
        <w:rPr>
          <w:rFonts w:hint="eastAsia" w:ascii="仿宋" w:hAnsi="仿宋" w:eastAsia="仿宋"/>
          <w:sz w:val="24"/>
          <w:szCs w:val="24"/>
        </w:rPr>
        <w:t>管理人</w:t>
      </w:r>
    </w:p>
    <w:p w14:paraId="1186A608">
      <w:pPr>
        <w:spacing w:line="360" w:lineRule="auto"/>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管理人负责人（签名）：</w:t>
      </w:r>
    </w:p>
    <w:p w14:paraId="1A5664FA">
      <w:pPr>
        <w:spacing w:line="360" w:lineRule="auto"/>
        <w:rPr>
          <w:rFonts w:ascii="仿宋" w:hAnsi="仿宋" w:eastAsia="仿宋"/>
          <w:sz w:val="24"/>
          <w:szCs w:val="24"/>
        </w:rPr>
      </w:pPr>
    </w:p>
    <w:p w14:paraId="5221444B">
      <w:pPr>
        <w:spacing w:line="360" w:lineRule="auto"/>
        <w:ind w:firstLine="480" w:firstLineChars="200"/>
        <w:rPr>
          <w:rFonts w:ascii="仿宋" w:hAnsi="仿宋" w:eastAsia="仿宋"/>
          <w:bCs/>
          <w:sz w:val="24"/>
          <w:szCs w:val="24"/>
        </w:rPr>
      </w:pPr>
      <w:r>
        <w:rPr>
          <w:rFonts w:hint="eastAsia" w:ascii="仿宋" w:hAnsi="仿宋" w:eastAsia="仿宋"/>
          <w:bCs/>
          <w:sz w:val="24"/>
          <w:szCs w:val="24"/>
        </w:rPr>
        <w:t>乙方：</w:t>
      </w:r>
    </w:p>
    <w:p w14:paraId="60DBB814">
      <w:pPr>
        <w:spacing w:line="360" w:lineRule="auto"/>
        <w:ind w:firstLine="480" w:firstLineChars="200"/>
        <w:rPr>
          <w:rFonts w:ascii="仿宋" w:hAnsi="仿宋" w:eastAsia="仿宋"/>
          <w:bCs/>
          <w:sz w:val="24"/>
          <w:szCs w:val="24"/>
        </w:rPr>
      </w:pPr>
      <w:r>
        <w:rPr>
          <w:rFonts w:hint="eastAsia" w:ascii="仿宋" w:hAnsi="仿宋" w:eastAsia="仿宋"/>
          <w:bCs/>
          <w:sz w:val="24"/>
          <w:szCs w:val="24"/>
        </w:rPr>
        <w:t>法定代表人或授权代表人（签名）：</w:t>
      </w:r>
    </w:p>
    <w:p w14:paraId="70696139">
      <w:pPr>
        <w:spacing w:line="360" w:lineRule="auto"/>
        <w:rPr>
          <w:rFonts w:ascii="仿宋" w:hAnsi="仿宋" w:eastAsia="仿宋"/>
          <w:sz w:val="24"/>
          <w:szCs w:val="24"/>
        </w:rPr>
      </w:pPr>
    </w:p>
    <w:p w14:paraId="44193BDD">
      <w:pPr>
        <w:spacing w:line="360" w:lineRule="auto"/>
        <w:jc w:val="right"/>
        <w:rPr>
          <w:rFonts w:ascii="仿宋" w:hAnsi="仿宋" w:eastAsia="仿宋"/>
          <w:sz w:val="24"/>
          <w:szCs w:val="24"/>
        </w:rPr>
      </w:pPr>
      <w:r>
        <w:rPr>
          <w:rFonts w:hint="eastAsia" w:ascii="仿宋" w:hAnsi="仿宋" w:eastAsia="仿宋"/>
          <w:sz w:val="24"/>
          <w:szCs w:val="24"/>
        </w:rPr>
        <w:t xml:space="preserve">     签订日期：      年   月   日</w:t>
      </w:r>
    </w:p>
    <w:sectPr>
      <w:footerReference r:id="rId3" w:type="default"/>
      <w:pgSz w:w="11906" w:h="16838"/>
      <w:pgMar w:top="1418" w:right="1797" w:bottom="1418" w:left="1701" w:header="851" w:footer="992" w:gutter="0"/>
      <w:cols w:space="425" w:num="1"/>
      <w:docGrid w:type="linesAndChar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3430965"/>
      <w:docPartObj>
        <w:docPartGallery w:val="autotext"/>
      </w:docPartObj>
    </w:sdtPr>
    <w:sdtContent>
      <w:p w14:paraId="6D97E1B8">
        <w:pPr>
          <w:pStyle w:val="4"/>
          <w:jc w:val="center"/>
        </w:pPr>
        <w:r>
          <w:fldChar w:fldCharType="begin"/>
        </w:r>
        <w:r>
          <w:instrText xml:space="preserve">PAGE   \* MERGEFORMAT</w:instrText>
        </w:r>
        <w:r>
          <w:fldChar w:fldCharType="separate"/>
        </w:r>
        <w:r>
          <w:rPr>
            <w:lang w:val="zh-CN"/>
          </w:rPr>
          <w:t>2</w:t>
        </w:r>
        <w:r>
          <w:fldChar w:fldCharType="end"/>
        </w:r>
      </w:p>
    </w:sdtContent>
  </w:sdt>
  <w:p w14:paraId="76BB50A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6C9"/>
    <w:rsid w:val="0000068D"/>
    <w:rsid w:val="00000E59"/>
    <w:rsid w:val="00003E1A"/>
    <w:rsid w:val="0000522E"/>
    <w:rsid w:val="00006C0B"/>
    <w:rsid w:val="0000784A"/>
    <w:rsid w:val="0002362D"/>
    <w:rsid w:val="00024270"/>
    <w:rsid w:val="000301D2"/>
    <w:rsid w:val="00035498"/>
    <w:rsid w:val="0004789E"/>
    <w:rsid w:val="00047A67"/>
    <w:rsid w:val="00047BFF"/>
    <w:rsid w:val="000542A2"/>
    <w:rsid w:val="00055354"/>
    <w:rsid w:val="000622F0"/>
    <w:rsid w:val="000649CE"/>
    <w:rsid w:val="00090100"/>
    <w:rsid w:val="000A0F88"/>
    <w:rsid w:val="000A3878"/>
    <w:rsid w:val="000B0522"/>
    <w:rsid w:val="000D22A7"/>
    <w:rsid w:val="000E0767"/>
    <w:rsid w:val="000E14F1"/>
    <w:rsid w:val="000E3AA7"/>
    <w:rsid w:val="000E445B"/>
    <w:rsid w:val="000E4C27"/>
    <w:rsid w:val="0010564E"/>
    <w:rsid w:val="00111276"/>
    <w:rsid w:val="001126F5"/>
    <w:rsid w:val="0011670B"/>
    <w:rsid w:val="001266C0"/>
    <w:rsid w:val="00136940"/>
    <w:rsid w:val="0014594C"/>
    <w:rsid w:val="00155D37"/>
    <w:rsid w:val="00160808"/>
    <w:rsid w:val="001639C5"/>
    <w:rsid w:val="0017444C"/>
    <w:rsid w:val="001757D9"/>
    <w:rsid w:val="00176522"/>
    <w:rsid w:val="00185715"/>
    <w:rsid w:val="00195B0B"/>
    <w:rsid w:val="001A136C"/>
    <w:rsid w:val="001C0F8C"/>
    <w:rsid w:val="001C183D"/>
    <w:rsid w:val="001C1850"/>
    <w:rsid w:val="001C4E74"/>
    <w:rsid w:val="001C6B0B"/>
    <w:rsid w:val="001D1F24"/>
    <w:rsid w:val="001D3533"/>
    <w:rsid w:val="001E097B"/>
    <w:rsid w:val="001E227B"/>
    <w:rsid w:val="0020206E"/>
    <w:rsid w:val="00204D3F"/>
    <w:rsid w:val="00205BF9"/>
    <w:rsid w:val="002232BA"/>
    <w:rsid w:val="00227F86"/>
    <w:rsid w:val="002376C3"/>
    <w:rsid w:val="00241522"/>
    <w:rsid w:val="00241FA9"/>
    <w:rsid w:val="00242048"/>
    <w:rsid w:val="0025039B"/>
    <w:rsid w:val="002573D6"/>
    <w:rsid w:val="0026400F"/>
    <w:rsid w:val="002763DF"/>
    <w:rsid w:val="0029429E"/>
    <w:rsid w:val="002B3B47"/>
    <w:rsid w:val="002D24EF"/>
    <w:rsid w:val="002D2DE7"/>
    <w:rsid w:val="002F21B8"/>
    <w:rsid w:val="003051CE"/>
    <w:rsid w:val="00305671"/>
    <w:rsid w:val="00307448"/>
    <w:rsid w:val="00334671"/>
    <w:rsid w:val="00337239"/>
    <w:rsid w:val="00342AFD"/>
    <w:rsid w:val="003559B3"/>
    <w:rsid w:val="003652AE"/>
    <w:rsid w:val="003A2FE5"/>
    <w:rsid w:val="003B5FD8"/>
    <w:rsid w:val="003C159C"/>
    <w:rsid w:val="003C1C72"/>
    <w:rsid w:val="003D241C"/>
    <w:rsid w:val="003F366E"/>
    <w:rsid w:val="003F4163"/>
    <w:rsid w:val="0040635C"/>
    <w:rsid w:val="004213B4"/>
    <w:rsid w:val="004239B5"/>
    <w:rsid w:val="004334F0"/>
    <w:rsid w:val="00433826"/>
    <w:rsid w:val="00456F54"/>
    <w:rsid w:val="004577F2"/>
    <w:rsid w:val="0046133C"/>
    <w:rsid w:val="00463633"/>
    <w:rsid w:val="00465918"/>
    <w:rsid w:val="0046651F"/>
    <w:rsid w:val="00467B40"/>
    <w:rsid w:val="00473BBF"/>
    <w:rsid w:val="00477405"/>
    <w:rsid w:val="004833E2"/>
    <w:rsid w:val="00491367"/>
    <w:rsid w:val="004A287A"/>
    <w:rsid w:val="004A5899"/>
    <w:rsid w:val="004B09B9"/>
    <w:rsid w:val="004B2187"/>
    <w:rsid w:val="004D1181"/>
    <w:rsid w:val="004E59C1"/>
    <w:rsid w:val="004F48C3"/>
    <w:rsid w:val="004F73F4"/>
    <w:rsid w:val="00517265"/>
    <w:rsid w:val="005217B9"/>
    <w:rsid w:val="00523469"/>
    <w:rsid w:val="00533AA0"/>
    <w:rsid w:val="005370CE"/>
    <w:rsid w:val="00545ED1"/>
    <w:rsid w:val="00547BC2"/>
    <w:rsid w:val="00553D87"/>
    <w:rsid w:val="00591D66"/>
    <w:rsid w:val="005924EE"/>
    <w:rsid w:val="005968A2"/>
    <w:rsid w:val="00597323"/>
    <w:rsid w:val="005A1749"/>
    <w:rsid w:val="005A648D"/>
    <w:rsid w:val="005C0383"/>
    <w:rsid w:val="005C5BE3"/>
    <w:rsid w:val="005C6EEA"/>
    <w:rsid w:val="005D1C9F"/>
    <w:rsid w:val="005D7F67"/>
    <w:rsid w:val="00604B1B"/>
    <w:rsid w:val="0060536D"/>
    <w:rsid w:val="006207BC"/>
    <w:rsid w:val="00623C7B"/>
    <w:rsid w:val="00630FEE"/>
    <w:rsid w:val="00636B45"/>
    <w:rsid w:val="0065514E"/>
    <w:rsid w:val="00655C05"/>
    <w:rsid w:val="00662B85"/>
    <w:rsid w:val="006847C8"/>
    <w:rsid w:val="00691470"/>
    <w:rsid w:val="00691918"/>
    <w:rsid w:val="006A7C19"/>
    <w:rsid w:val="006B10D9"/>
    <w:rsid w:val="006B12BD"/>
    <w:rsid w:val="006D21C0"/>
    <w:rsid w:val="006D2F37"/>
    <w:rsid w:val="006D5DAD"/>
    <w:rsid w:val="006E0E42"/>
    <w:rsid w:val="006E177F"/>
    <w:rsid w:val="006E6ED1"/>
    <w:rsid w:val="006F2361"/>
    <w:rsid w:val="006F5CDF"/>
    <w:rsid w:val="007116C0"/>
    <w:rsid w:val="0071599F"/>
    <w:rsid w:val="0072210B"/>
    <w:rsid w:val="00725CD5"/>
    <w:rsid w:val="007476C9"/>
    <w:rsid w:val="007532E9"/>
    <w:rsid w:val="00780457"/>
    <w:rsid w:val="0078191F"/>
    <w:rsid w:val="00792E28"/>
    <w:rsid w:val="007B06A4"/>
    <w:rsid w:val="007B2E1D"/>
    <w:rsid w:val="007B54C0"/>
    <w:rsid w:val="007B5BA9"/>
    <w:rsid w:val="007B68B0"/>
    <w:rsid w:val="007B7829"/>
    <w:rsid w:val="007C020F"/>
    <w:rsid w:val="007C4EF9"/>
    <w:rsid w:val="007C502B"/>
    <w:rsid w:val="007E01EA"/>
    <w:rsid w:val="007E61A5"/>
    <w:rsid w:val="00802A07"/>
    <w:rsid w:val="008127C3"/>
    <w:rsid w:val="00817449"/>
    <w:rsid w:val="00820F03"/>
    <w:rsid w:val="0083048E"/>
    <w:rsid w:val="00833F46"/>
    <w:rsid w:val="0084300B"/>
    <w:rsid w:val="00855160"/>
    <w:rsid w:val="0086191B"/>
    <w:rsid w:val="008747B9"/>
    <w:rsid w:val="00891618"/>
    <w:rsid w:val="00892C3D"/>
    <w:rsid w:val="008930B3"/>
    <w:rsid w:val="008B24F2"/>
    <w:rsid w:val="008C00B1"/>
    <w:rsid w:val="008C01CB"/>
    <w:rsid w:val="008C1394"/>
    <w:rsid w:val="008C7057"/>
    <w:rsid w:val="008D0005"/>
    <w:rsid w:val="008D5688"/>
    <w:rsid w:val="008F2F6B"/>
    <w:rsid w:val="008F3CF5"/>
    <w:rsid w:val="00917038"/>
    <w:rsid w:val="00917D8E"/>
    <w:rsid w:val="0094393C"/>
    <w:rsid w:val="00947EF2"/>
    <w:rsid w:val="00972431"/>
    <w:rsid w:val="00972547"/>
    <w:rsid w:val="00975E3E"/>
    <w:rsid w:val="00982711"/>
    <w:rsid w:val="00983334"/>
    <w:rsid w:val="00990EE5"/>
    <w:rsid w:val="009A3A1D"/>
    <w:rsid w:val="009C62EB"/>
    <w:rsid w:val="009D3FD5"/>
    <w:rsid w:val="009E60B6"/>
    <w:rsid w:val="009F1022"/>
    <w:rsid w:val="00A059F1"/>
    <w:rsid w:val="00A10922"/>
    <w:rsid w:val="00A12263"/>
    <w:rsid w:val="00A1534F"/>
    <w:rsid w:val="00A213BC"/>
    <w:rsid w:val="00A23350"/>
    <w:rsid w:val="00A30627"/>
    <w:rsid w:val="00A562C9"/>
    <w:rsid w:val="00A56837"/>
    <w:rsid w:val="00A56C42"/>
    <w:rsid w:val="00A75669"/>
    <w:rsid w:val="00A7587A"/>
    <w:rsid w:val="00A807B4"/>
    <w:rsid w:val="00A825A6"/>
    <w:rsid w:val="00A82873"/>
    <w:rsid w:val="00A82A7A"/>
    <w:rsid w:val="00A924D2"/>
    <w:rsid w:val="00AA5684"/>
    <w:rsid w:val="00AC0365"/>
    <w:rsid w:val="00AE4070"/>
    <w:rsid w:val="00AF025C"/>
    <w:rsid w:val="00AF3B60"/>
    <w:rsid w:val="00AF5823"/>
    <w:rsid w:val="00AF78EE"/>
    <w:rsid w:val="00B05F42"/>
    <w:rsid w:val="00B15BD9"/>
    <w:rsid w:val="00B40B83"/>
    <w:rsid w:val="00B42C39"/>
    <w:rsid w:val="00B630E0"/>
    <w:rsid w:val="00B6416E"/>
    <w:rsid w:val="00B86623"/>
    <w:rsid w:val="00B91E40"/>
    <w:rsid w:val="00B9259D"/>
    <w:rsid w:val="00BB1788"/>
    <w:rsid w:val="00BB1E2E"/>
    <w:rsid w:val="00BB5437"/>
    <w:rsid w:val="00BB60C2"/>
    <w:rsid w:val="00BC21B1"/>
    <w:rsid w:val="00BC7024"/>
    <w:rsid w:val="00BD25DF"/>
    <w:rsid w:val="00BD4AEE"/>
    <w:rsid w:val="00BD4EE4"/>
    <w:rsid w:val="00BE4F85"/>
    <w:rsid w:val="00BF0D20"/>
    <w:rsid w:val="00BF2E65"/>
    <w:rsid w:val="00BF4D66"/>
    <w:rsid w:val="00C05DCF"/>
    <w:rsid w:val="00C11B8E"/>
    <w:rsid w:val="00C139E4"/>
    <w:rsid w:val="00C14202"/>
    <w:rsid w:val="00C16E8A"/>
    <w:rsid w:val="00C2359E"/>
    <w:rsid w:val="00C42117"/>
    <w:rsid w:val="00C447D5"/>
    <w:rsid w:val="00C4729A"/>
    <w:rsid w:val="00C51787"/>
    <w:rsid w:val="00C76AF3"/>
    <w:rsid w:val="00C8469A"/>
    <w:rsid w:val="00C85FA6"/>
    <w:rsid w:val="00C94EB2"/>
    <w:rsid w:val="00CA40F2"/>
    <w:rsid w:val="00CB35F0"/>
    <w:rsid w:val="00CB4279"/>
    <w:rsid w:val="00CB4FB2"/>
    <w:rsid w:val="00CE67F2"/>
    <w:rsid w:val="00CF1D57"/>
    <w:rsid w:val="00CF3B29"/>
    <w:rsid w:val="00CF4269"/>
    <w:rsid w:val="00CF5778"/>
    <w:rsid w:val="00CF59CB"/>
    <w:rsid w:val="00CF7492"/>
    <w:rsid w:val="00D01744"/>
    <w:rsid w:val="00D0333C"/>
    <w:rsid w:val="00D04AC5"/>
    <w:rsid w:val="00D1023F"/>
    <w:rsid w:val="00D158DD"/>
    <w:rsid w:val="00D15908"/>
    <w:rsid w:val="00D22751"/>
    <w:rsid w:val="00D32724"/>
    <w:rsid w:val="00D377A8"/>
    <w:rsid w:val="00D41EBB"/>
    <w:rsid w:val="00D42474"/>
    <w:rsid w:val="00D5184F"/>
    <w:rsid w:val="00D522D0"/>
    <w:rsid w:val="00D61AA6"/>
    <w:rsid w:val="00D6688F"/>
    <w:rsid w:val="00D6711C"/>
    <w:rsid w:val="00D74F73"/>
    <w:rsid w:val="00D82BAD"/>
    <w:rsid w:val="00D84FDD"/>
    <w:rsid w:val="00DB00D5"/>
    <w:rsid w:val="00DB1B62"/>
    <w:rsid w:val="00DB379F"/>
    <w:rsid w:val="00DC734A"/>
    <w:rsid w:val="00DD4FA5"/>
    <w:rsid w:val="00DE3749"/>
    <w:rsid w:val="00DE6373"/>
    <w:rsid w:val="00E00935"/>
    <w:rsid w:val="00E00DAC"/>
    <w:rsid w:val="00E149BD"/>
    <w:rsid w:val="00E43C57"/>
    <w:rsid w:val="00E4784D"/>
    <w:rsid w:val="00E527D0"/>
    <w:rsid w:val="00E54E4A"/>
    <w:rsid w:val="00E71EA2"/>
    <w:rsid w:val="00E82583"/>
    <w:rsid w:val="00E83233"/>
    <w:rsid w:val="00E852B4"/>
    <w:rsid w:val="00E91018"/>
    <w:rsid w:val="00E92F31"/>
    <w:rsid w:val="00E96A61"/>
    <w:rsid w:val="00EA24F0"/>
    <w:rsid w:val="00EB198F"/>
    <w:rsid w:val="00EB4B1A"/>
    <w:rsid w:val="00EB61B3"/>
    <w:rsid w:val="00EC16CE"/>
    <w:rsid w:val="00ED76C1"/>
    <w:rsid w:val="00EE115B"/>
    <w:rsid w:val="00EE1B71"/>
    <w:rsid w:val="00EE2044"/>
    <w:rsid w:val="00EE4294"/>
    <w:rsid w:val="00EE665B"/>
    <w:rsid w:val="00EF4861"/>
    <w:rsid w:val="00F00034"/>
    <w:rsid w:val="00F0692E"/>
    <w:rsid w:val="00F4361B"/>
    <w:rsid w:val="00F54A02"/>
    <w:rsid w:val="00F705D6"/>
    <w:rsid w:val="00F736FD"/>
    <w:rsid w:val="00F75531"/>
    <w:rsid w:val="00F81E0E"/>
    <w:rsid w:val="00F87036"/>
    <w:rsid w:val="00F90E35"/>
    <w:rsid w:val="00F9692B"/>
    <w:rsid w:val="00F97766"/>
    <w:rsid w:val="00F97E2D"/>
    <w:rsid w:val="00FA3934"/>
    <w:rsid w:val="00FA5598"/>
    <w:rsid w:val="00FA6E21"/>
    <w:rsid w:val="00FB69FB"/>
    <w:rsid w:val="00FC3E23"/>
    <w:rsid w:val="00FC4F19"/>
    <w:rsid w:val="00FD7A65"/>
    <w:rsid w:val="00FE3E5A"/>
    <w:rsid w:val="00FE718A"/>
    <w:rsid w:val="00FF1486"/>
    <w:rsid w:val="00FF5DE5"/>
    <w:rsid w:val="0ECC513F"/>
    <w:rsid w:val="12B91B6C"/>
    <w:rsid w:val="2AB54EB7"/>
    <w:rsid w:val="2F103318"/>
    <w:rsid w:val="37291826"/>
    <w:rsid w:val="393D2C48"/>
    <w:rsid w:val="3B6F6B25"/>
    <w:rsid w:val="3F9904AC"/>
    <w:rsid w:val="422A50EC"/>
    <w:rsid w:val="4E9D1D67"/>
    <w:rsid w:val="54E610D8"/>
    <w:rsid w:val="61890C34"/>
    <w:rsid w:val="69C76137"/>
    <w:rsid w:val="6ACB3360"/>
    <w:rsid w:val="6C174070"/>
    <w:rsid w:val="70DF33A4"/>
    <w:rsid w:val="77325F82"/>
    <w:rsid w:val="7A204A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框文本 字符"/>
    <w:basedOn w:val="8"/>
    <w:link w:val="3"/>
    <w:semiHidden/>
    <w:qFormat/>
    <w:uiPriority w:val="99"/>
    <w:rPr>
      <w:kern w:val="2"/>
      <w:sz w:val="18"/>
      <w:szCs w:val="18"/>
    </w:rPr>
  </w:style>
  <w:style w:type="character" w:customStyle="1" w:styleId="14">
    <w:name w:val="批注文字 字符"/>
    <w:basedOn w:val="8"/>
    <w:link w:val="2"/>
    <w:semiHidden/>
    <w:qFormat/>
    <w:uiPriority w:val="99"/>
    <w:rPr>
      <w:kern w:val="2"/>
      <w:sz w:val="21"/>
      <w:szCs w:val="22"/>
    </w:rPr>
  </w:style>
  <w:style w:type="character" w:customStyle="1" w:styleId="15">
    <w:name w:val="批注主题 字符"/>
    <w:basedOn w:val="14"/>
    <w:link w:val="6"/>
    <w:semiHidden/>
    <w:qFormat/>
    <w:uiPriority w:val="99"/>
    <w:rPr>
      <w:b/>
      <w:bCs/>
      <w:kern w:val="2"/>
      <w:sz w:val="21"/>
      <w:szCs w:val="22"/>
    </w:rPr>
  </w:style>
  <w:style w:type="paragraph" w:customStyle="1" w:styleId="16">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B5E18-39EE-4A8A-9375-3C34C883EE0B}">
  <ds:schemaRefs/>
</ds:datastoreItem>
</file>

<file path=docProps/app.xml><?xml version="1.0" encoding="utf-8"?>
<Properties xmlns="http://schemas.openxmlformats.org/officeDocument/2006/extended-properties" xmlns:vt="http://schemas.openxmlformats.org/officeDocument/2006/docPropsVTypes">
  <Template>Normal</Template>
  <Pages>5</Pages>
  <Words>2487</Words>
  <Characters>2506</Characters>
  <Lines>21</Lines>
  <Paragraphs>6</Paragraphs>
  <TotalTime>20</TotalTime>
  <ScaleCrop>false</ScaleCrop>
  <LinksUpToDate>false</LinksUpToDate>
  <CharactersWithSpaces>2548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2018-11-27T07:48:00Z</dcterms:created>
  <dc:creator>ytf ytf</dc:creator>
  <cp:lastModifiedBy>李春萍胶东所</cp:lastModifiedBy>
  <cp:lastPrinted>2022-08-02T06:23:00Z</cp:lastPrinted>
  <dcterms:modified xsi:type="dcterms:W3CDTF">2026-08-09T00:32:29Z</dcterms:modified>
  <cp:revision>983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eyJoZGlkIjoiYzVlODY5YTdiMTdjMDk4OTUzOWEyNDZkYzA3ZmM2YTgiLCJ1c2VySWQiOiIzODM4MjI0ODUifQ==</vt:lpwstr>
  </property>
  <property fmtid="{D5CDD505-2E9C-101B-9397-08002B2CF9AE}" pid="4" name="ICV">
    <vt:lpwstr>6ABEC94159BB488987F48D0229B35A18_13</vt:lpwstr>
  </property>
</Properties>
</file>