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附件二: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邯郸市丛台区人民法院: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__________(中介机构名称)</w:t>
      </w:r>
      <w:r>
        <w:rPr>
          <w:rFonts w:hint="eastAsia" w:ascii="仿宋_GB2312" w:hAnsi="仿宋_GB2312" w:eastAsia="仿宋_GB2312" w:cs="仿宋_GB2312"/>
          <w:sz w:val="32"/>
          <w:szCs w:val="32"/>
        </w:rPr>
        <w:t>此次针对河北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厚石</w:t>
      </w:r>
      <w:r>
        <w:rPr>
          <w:rFonts w:hint="eastAsia" w:ascii="仿宋_GB2312" w:hAnsi="仿宋_GB2312" w:eastAsia="仿宋_GB2312" w:cs="仿宋_GB2312"/>
          <w:sz w:val="32"/>
          <w:szCs w:val="32"/>
        </w:rPr>
        <w:t>房地产开发有限公司破产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预重整</w:t>
      </w:r>
      <w:r>
        <w:rPr>
          <w:rFonts w:hint="eastAsia" w:ascii="仿宋_GB2312" w:hAnsi="仿宋_GB2312" w:eastAsia="仿宋_GB2312" w:cs="仿宋_GB2312"/>
          <w:sz w:val="32"/>
          <w:szCs w:val="32"/>
        </w:rPr>
        <w:t>/重整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清算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和解案竞选管理人向贵院提交的全部文件，均属真实有效，否则将自动丧失参选资格并自愿承担相应法律责任。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经过查证，我单位符合《最高人民法院关于审理企业破产案件指定管理人的规定》中担任破产案件管理人的条件，且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不存在可能影响忠实履行管理人职责的利害关系，亦不存在不宜担任管理人的其他情形。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特作出以上承诺。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(单位名称及公章)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二O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____________________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__________________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(上述联系方式需与《邀请函回执》保持一致)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B27D1"/>
    <w:rsid w:val="7EBB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2026-08-24T16:42:00Z</dcterms:created>
  <dc:creator>蛮荒</dc:creator>
  <cp:lastModifiedBy>蛮荒</cp:lastModifiedBy>
  <dcterms:modified xsi:type="dcterms:W3CDTF">2026-08-24T16:47:01Z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0589A32C667FEA83E2038C6AD31D3054_41</vt:lpwstr>
  </property>
</Properties>
</file>