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FE9FA">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jc w:val="center"/>
        <w:textAlignment w:val="auto"/>
        <w:rPr>
          <w:rFonts w:hint="eastAsia" w:ascii="黑体" w:hAnsi="黑体" w:eastAsia="黑体" w:cs="黑体"/>
          <w:i w:val="0"/>
          <w:iCs w:val="0"/>
          <w:caps w:val="0"/>
          <w:color w:val="000000"/>
          <w:spacing w:val="0"/>
          <w:sz w:val="28"/>
          <w:szCs w:val="28"/>
        </w:rPr>
      </w:pPr>
      <w:r>
        <w:rPr>
          <w:rStyle w:val="5"/>
          <w:rFonts w:hint="eastAsia" w:ascii="黑体" w:hAnsi="黑体" w:eastAsia="黑体" w:cs="黑体"/>
          <w:i w:val="0"/>
          <w:iCs w:val="0"/>
          <w:caps w:val="0"/>
          <w:color w:val="000000"/>
          <w:spacing w:val="0"/>
          <w:sz w:val="28"/>
          <w:szCs w:val="28"/>
          <w:shd w:val="clear" w:color="auto" w:fill="FFFFFF"/>
        </w:rPr>
        <w:t>北京文投航美传媒有限公司等18家关联企业合并破产清算案财产处置公告</w:t>
      </w:r>
    </w:p>
    <w:p w14:paraId="08480D1B">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textAlignment w:val="auto"/>
        <w:rPr>
          <w:rFonts w:hint="eastAsia" w:ascii="黑体" w:hAnsi="黑体" w:eastAsia="黑体" w:cs="黑体"/>
          <w:i w:val="0"/>
          <w:iCs w:val="0"/>
          <w:caps w:val="0"/>
          <w:color w:val="000000"/>
          <w:spacing w:val="0"/>
          <w:sz w:val="28"/>
          <w:szCs w:val="28"/>
        </w:rPr>
      </w:pPr>
      <w:r>
        <w:rPr>
          <w:rFonts w:hint="eastAsia" w:ascii="黑体" w:hAnsi="黑体" w:eastAsia="黑体" w:cs="黑体"/>
          <w:i w:val="0"/>
          <w:iCs w:val="0"/>
          <w:caps w:val="0"/>
          <w:color w:val="000000"/>
          <w:spacing w:val="0"/>
          <w:sz w:val="28"/>
          <w:szCs w:val="28"/>
        </w:rPr>
        <w:t>北京文投航美传媒有限公司等18家关联企业（以下简称“文投航美等18家关联企业”）合并破产清算一案中，管理人在北京产权交易所(以下简称“北交互联”)平台（网址https://otc.cbex.com/page/sszc/index.html）于</w:t>
      </w:r>
      <w:r>
        <w:rPr>
          <w:rFonts w:hint="eastAsia" w:ascii="黑体" w:hAnsi="黑体" w:eastAsia="黑体" w:cs="黑体"/>
          <w:i w:val="0"/>
          <w:iCs w:val="0"/>
          <w:caps w:val="0"/>
          <w:color w:val="FF0000"/>
          <w:spacing w:val="0"/>
          <w:sz w:val="28"/>
          <w:szCs w:val="28"/>
          <w:lang w:eastAsia="zh-CN"/>
        </w:rPr>
        <w:t>2026年09月19日</w:t>
      </w:r>
      <w:r>
        <w:rPr>
          <w:rFonts w:hint="eastAsia" w:ascii="黑体" w:hAnsi="黑体" w:eastAsia="黑体" w:cs="黑体"/>
          <w:i w:val="0"/>
          <w:iCs w:val="0"/>
          <w:caps w:val="0"/>
          <w:color w:val="FF0000"/>
          <w:spacing w:val="0"/>
          <w:sz w:val="28"/>
          <w:szCs w:val="28"/>
        </w:rPr>
        <w:t>10时至</w:t>
      </w:r>
      <w:r>
        <w:rPr>
          <w:rFonts w:hint="eastAsia" w:ascii="黑体" w:hAnsi="黑体" w:eastAsia="黑体" w:cs="黑体"/>
          <w:i w:val="0"/>
          <w:iCs w:val="0"/>
          <w:caps w:val="0"/>
          <w:color w:val="FF0000"/>
          <w:spacing w:val="0"/>
          <w:sz w:val="28"/>
          <w:szCs w:val="28"/>
          <w:lang w:eastAsia="zh-CN"/>
        </w:rPr>
        <w:t>2026年09月20日</w:t>
      </w:r>
      <w:r>
        <w:rPr>
          <w:rFonts w:hint="eastAsia" w:ascii="黑体" w:hAnsi="黑体" w:eastAsia="黑体" w:cs="黑体"/>
          <w:i w:val="0"/>
          <w:iCs w:val="0"/>
          <w:caps w:val="0"/>
          <w:color w:val="FF0000"/>
          <w:spacing w:val="0"/>
          <w:sz w:val="28"/>
          <w:szCs w:val="28"/>
        </w:rPr>
        <w:t>10时止（延时周期除外）</w:t>
      </w:r>
      <w:r>
        <w:rPr>
          <w:rFonts w:hint="eastAsia" w:ascii="黑体" w:hAnsi="黑体" w:eastAsia="黑体" w:cs="黑体"/>
          <w:i w:val="0"/>
          <w:iCs w:val="0"/>
          <w:caps w:val="0"/>
          <w:color w:val="000000"/>
          <w:spacing w:val="0"/>
          <w:sz w:val="28"/>
          <w:szCs w:val="28"/>
        </w:rPr>
        <w:t>以网络竞价方式公开进行竞价处置活动。现公告如下：</w:t>
      </w:r>
    </w:p>
    <w:p w14:paraId="4C00DA32">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ascii="黑体" w:hAnsi="宋体" w:eastAsia="黑体" w:cs="黑体"/>
          <w:i w:val="0"/>
          <w:iCs w:val="0"/>
          <w:caps w:val="0"/>
          <w:color w:val="000000"/>
          <w:spacing w:val="0"/>
          <w:sz w:val="28"/>
          <w:szCs w:val="28"/>
        </w:rPr>
        <w:t>重要提示</w:t>
      </w:r>
    </w:p>
    <w:p w14:paraId="7A507A82">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rPr>
        <w:t>1、请竞买人在竞拍前务必遵照《竞买公告》及《竞价须知》的要求，调查标的资产信息、了解竞买资质、委托代理及尾款支付方式等内容。</w:t>
      </w:r>
    </w:p>
    <w:p w14:paraId="1467BC78">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rPr>
        <w:t>2、本公告所披露的全部信息，仅为竞买人参与竞买提供参考，不作为竞买人判断、权衡价值的最终依据。竞买人应根据自身需求对标的资产进行调查、了解、核实，在竞价前自行做好尽职调查，竞买人一旦出价，即表明已完全了解并接受标的资产的现状和一切瑕疵。</w:t>
      </w:r>
    </w:p>
    <w:p w14:paraId="212D5F8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3、竞价结束后，竞买人不得以任何理由悔拍，否则管理人将向悔拍人追究悔拍责任。</w:t>
      </w:r>
    </w:p>
    <w:p w14:paraId="486C201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一、</w:t>
      </w:r>
      <w:r>
        <w:rPr>
          <w:rStyle w:val="5"/>
          <w:rFonts w:hint="eastAsia" w:ascii="黑体" w:hAnsi="宋体" w:eastAsia="黑体" w:cs="黑体"/>
          <w:i w:val="0"/>
          <w:iCs w:val="0"/>
          <w:caps w:val="0"/>
          <w:color w:val="000000"/>
          <w:spacing w:val="0"/>
          <w:sz w:val="28"/>
          <w:szCs w:val="28"/>
          <w:shd w:val="clear" w:fill="FFFFFF"/>
        </w:rPr>
        <w:t>标的:海南优美信息咨询有限公司对北京一马餐饮管理有限公司5%股权（第三十</w:t>
      </w:r>
      <w:r>
        <w:rPr>
          <w:rStyle w:val="5"/>
          <w:rFonts w:hint="eastAsia" w:ascii="黑体" w:hAnsi="宋体" w:eastAsia="黑体" w:cs="黑体"/>
          <w:i w:val="0"/>
          <w:iCs w:val="0"/>
          <w:caps w:val="0"/>
          <w:color w:val="000000"/>
          <w:spacing w:val="0"/>
          <w:sz w:val="28"/>
          <w:szCs w:val="28"/>
          <w:shd w:val="clear" w:fill="FFFFFF"/>
          <w:lang w:val="en-US" w:eastAsia="zh-CN"/>
        </w:rPr>
        <w:t>三</w:t>
      </w:r>
      <w:r>
        <w:rPr>
          <w:rStyle w:val="5"/>
          <w:rFonts w:hint="eastAsia" w:ascii="黑体" w:hAnsi="宋体" w:eastAsia="黑体" w:cs="黑体"/>
          <w:i w:val="0"/>
          <w:iCs w:val="0"/>
          <w:caps w:val="0"/>
          <w:color w:val="000000"/>
          <w:spacing w:val="0"/>
          <w:sz w:val="28"/>
          <w:szCs w:val="28"/>
          <w:shd w:val="clear" w:fill="FFFFFF"/>
        </w:rPr>
        <w:t>次拍卖）</w:t>
      </w:r>
    </w:p>
    <w:p w14:paraId="3DD81CF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起拍价：</w:t>
      </w:r>
      <w:r>
        <w:rPr>
          <w:rStyle w:val="5"/>
          <w:rFonts w:ascii="黑体" w:hAnsi="宋体" w:eastAsia="黑体" w:cs="黑体"/>
          <w:i w:val="0"/>
          <w:iCs w:val="0"/>
          <w:caps w:val="0"/>
          <w:color w:val="000000"/>
          <w:spacing w:val="0"/>
          <w:sz w:val="28"/>
          <w:szCs w:val="28"/>
        </w:rPr>
        <w:t>391.78元；保证金：78.00元；增价幅度：7.00元</w:t>
      </w:r>
      <w:r>
        <w:rPr>
          <w:rStyle w:val="5"/>
          <w:rFonts w:hint="eastAsia" w:ascii="黑体" w:hAnsi="宋体" w:eastAsia="黑体" w:cs="黑体"/>
          <w:i w:val="0"/>
          <w:iCs w:val="0"/>
          <w:caps w:val="0"/>
          <w:color w:val="000000"/>
          <w:spacing w:val="0"/>
          <w:sz w:val="28"/>
          <w:szCs w:val="28"/>
          <w:shd w:val="clear" w:fill="FFFFFF"/>
        </w:rPr>
        <w:t>（或整数倍）。</w:t>
      </w:r>
    </w:p>
    <w:p w14:paraId="76E61E8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特别说明：</w:t>
      </w:r>
    </w:p>
    <w:p w14:paraId="7DD86E9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1、标的公司情况</w:t>
      </w:r>
    </w:p>
    <w:p w14:paraId="038FD53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公司名称：北京一马餐饮管理有限公司</w:t>
      </w:r>
    </w:p>
    <w:p w14:paraId="5CC94B4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住所：北京市朝阳区建国门外大街2号院5号楼5层501内B室</w:t>
      </w:r>
    </w:p>
    <w:p w14:paraId="0D169AE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法定代表人：徐兴</w:t>
      </w:r>
    </w:p>
    <w:p w14:paraId="4DB3A90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注册资本：200万元人民币</w:t>
      </w:r>
    </w:p>
    <w:p w14:paraId="410E208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成立日期：2021-01-26</w:t>
      </w:r>
    </w:p>
    <w:p w14:paraId="5015BC6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公司类型：其他有限责任公司</w:t>
      </w:r>
    </w:p>
    <w:p w14:paraId="0547411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统一社会信用代码：91110105MA0204J43L</w:t>
      </w:r>
    </w:p>
    <w:p w14:paraId="3F794FF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经营范围：销售食品；文艺表演；演出经纪；餐饮服务；餐饮管理；企业管理；出租商业用房；承办展览展示活动；会议服务；组织文化艺术交流活动（不含演出）；企业策划；舞台灯光音响设计；设计、制作、代理、发布广告。（市场主体依法自主选择经营项目，开展经营活动；销售食品、文艺表演、演出经纪、餐饮服务以及依法须经批准的项目，经相关部门批准后依批准的内容开展经营活动；不得从事国家和本市产业政策禁止和限制类项目的经营活动。）</w:t>
      </w:r>
    </w:p>
    <w:p w14:paraId="5C7DF0D8">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2、根据评估机构沃克森（北京）国际资产评估有限公司出具的评估报告</w:t>
      </w:r>
      <w:r>
        <w:rPr>
          <w:rFonts w:hint="eastAsia" w:ascii="黑体" w:hAnsi="宋体" w:eastAsia="黑体" w:cs="黑体"/>
          <w:i w:val="0"/>
          <w:iCs w:val="0"/>
          <w:caps w:val="0"/>
          <w:color w:val="FF0000"/>
          <w:spacing w:val="0"/>
          <w:sz w:val="28"/>
          <w:szCs w:val="28"/>
          <w:shd w:val="clear" w:fill="FFFFFF"/>
        </w:rPr>
        <w:t>(沃克森咨报字（2025）第0325号)显示，北京一马餐饮管理有限公司于2025年04月30日5%的股权价值为39.56万元。</w:t>
      </w:r>
    </w:p>
    <w:p w14:paraId="74F9FC1A">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FF0000"/>
          <w:spacing w:val="0"/>
          <w:sz w:val="28"/>
          <w:szCs w:val="28"/>
          <w:u w:val="single"/>
          <w:shd w:val="clear" w:fill="FFFFFF"/>
        </w:rPr>
        <w:t>注意：如竞买人需查看评估报告，可在缴纳保证金后联系管理人。提示竞买人仔细阅读评估报告，自行判断有无投资价值并注意潜在风险。竞买人竞价成交后，不得以任何事由悔拍，否则管理人有权向竞买人追究悔拍责任。</w:t>
      </w:r>
    </w:p>
    <w:p w14:paraId="7D505773">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FF0000"/>
          <w:spacing w:val="0"/>
          <w:sz w:val="28"/>
          <w:szCs w:val="28"/>
          <w:u w:val="single"/>
          <w:shd w:val="clear" w:fill="FFFFFF"/>
        </w:rPr>
        <w:t>3、</w:t>
      </w:r>
      <w:r>
        <w:rPr>
          <w:rFonts w:hint="eastAsia" w:ascii="黑体" w:hAnsi="宋体" w:eastAsia="黑体" w:cs="黑体"/>
          <w:i w:val="0"/>
          <w:iCs w:val="0"/>
          <w:caps w:val="0"/>
          <w:color w:val="FF0000"/>
          <w:spacing w:val="0"/>
          <w:sz w:val="28"/>
          <w:szCs w:val="28"/>
          <w:u w:val="single"/>
          <w:shd w:val="clear" w:fill="FFFFFF"/>
        </w:rPr>
        <w:t>对上述拍卖标的权属有异议者，请于开拍前3个工作日以书面形式向管理人提出并附相关证明材料。</w:t>
      </w:r>
    </w:p>
    <w:p w14:paraId="494FC05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二、竞买人条件</w:t>
      </w:r>
    </w:p>
    <w:p w14:paraId="308DE22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u w:val="single"/>
          <w:shd w:val="clear" w:fill="FFFFFF"/>
        </w:rPr>
        <w:t>1.凡具备完全民事行为能力的公民、法人和其他组织均可参加竞买。</w:t>
      </w:r>
    </w:p>
    <w:p w14:paraId="392028B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u w:val="single"/>
          <w:shd w:val="clear" w:fill="FFFFFF"/>
        </w:rPr>
        <w:t>2.竞买人可委托代理人（具备完全民事行为能力的自然人），但须在竞买开始前与管理人沟通办理委托手续；竞买成功后，竞买人（法定代表人、其他组织的负责人）须与委托代理人一同到管理人处办理交付及权属转移手续。如委托手续不全或无效的，竞买活动认定为委托代理人的个人行为，由委托代理人承担全部法律后果和责任。</w:t>
      </w:r>
    </w:p>
    <w:p w14:paraId="2EE26CA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u w:val="single"/>
          <w:shd w:val="clear" w:fill="FFFFFF"/>
        </w:rPr>
        <w:t>3.不符合条件参加竞买的，由竞买人自行承担相应的法律责任。</w:t>
      </w:r>
    </w:p>
    <w:p w14:paraId="49DE06C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三、优先购买权人：有</w:t>
      </w:r>
    </w:p>
    <w:p w14:paraId="20A400D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本拍卖标的涉及优先权购买人行权事项，请竞买人、优先购买权人仔细阅读如下内容：</w:t>
      </w:r>
    </w:p>
    <w:p w14:paraId="73DB6FA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1、管理人目前知悉股杭州黑马娱乐管理有限公司、北京恒宇万轩科技有限公司、夏丹享有优先购买权。</w:t>
      </w:r>
    </w:p>
    <w:p w14:paraId="3D86FB0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2、如有主张优先购买权的，相关主体应于竞价开始前3个工作日内向管理人提交申请和合法有效的证明材料，由管理人予以审核认定。优先购买权利经管理人确认后，相关主体应按照规定程序参加竞买，进行报名和缴纳保证金。</w:t>
      </w:r>
    </w:p>
    <w:p w14:paraId="14F3C459">
      <w:pPr>
        <w:pStyle w:val="2"/>
        <w:keepNext w:val="0"/>
        <w:keepLines w:val="0"/>
        <w:pageBreakBefore w:val="0"/>
        <w:widowControl/>
        <w:suppressLineNumbers w:val="0"/>
        <w:kinsoku/>
        <w:wordWrap/>
        <w:overflowPunct/>
        <w:topLinePunct w:val="0"/>
        <w:autoSpaceDE/>
        <w:autoSpaceDN/>
        <w:bidi w:val="0"/>
        <w:adjustRightInd/>
        <w:snapToGrid/>
        <w:spacing w:before="38" w:beforeAutospacing="0" w:after="38"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rPr>
        <w:t>3、优先购买权人参加本次网络竞价的，应向管理人提交合法有效的证明（登记的证件信息必须与北交互联平台实名认证相一致），资格经管理人确认才能参与竞买，优先购买权人资格将添加至北交互联拍卖平台后台系统。优先购买权人可以与其他竞买人以相同的价格出价，没有更高出价的，标的股份由优先购买权人竞得。</w:t>
      </w:r>
    </w:p>
    <w:p w14:paraId="6947ADB3">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FF0000"/>
          <w:spacing w:val="0"/>
          <w:sz w:val="28"/>
          <w:szCs w:val="28"/>
        </w:rPr>
        <w:t>4、优先购买权人不参与本次网络竞价的，确定最高出价后，管理人将通知并征询其行权意见，其在规定期限内行权的，优先购买权人为买受人；其在规定期限内未行权的，最高报价方为买受人。</w:t>
      </w:r>
    </w:p>
    <w:p w14:paraId="1BF56D9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FF0000"/>
          <w:spacing w:val="0"/>
          <w:sz w:val="28"/>
          <w:szCs w:val="28"/>
          <w:shd w:val="clear" w:fill="FFFFFF"/>
        </w:rPr>
        <w:t>5、</w:t>
      </w:r>
      <w:r>
        <w:rPr>
          <w:rFonts w:hint="eastAsia" w:ascii="黑体" w:hAnsi="宋体" w:eastAsia="黑体" w:cs="黑体"/>
          <w:i w:val="0"/>
          <w:iCs w:val="0"/>
          <w:caps w:val="0"/>
          <w:color w:val="FF0000"/>
          <w:spacing w:val="0"/>
          <w:sz w:val="28"/>
          <w:szCs w:val="28"/>
          <w:u w:val="single"/>
          <w:shd w:val="clear" w:fill="FFFFFF"/>
        </w:rPr>
        <w:t>本资产包流拍后采取协议转让的，确定意向买受人和转让价格后，管理人将通知优先购买权人行权，其在规定期限内行权的，优先购买权人为买受人；其未在规定期限内行权的，协议转让意向买受人为买受人</w:t>
      </w:r>
      <w:r>
        <w:rPr>
          <w:rFonts w:hint="eastAsia" w:ascii="黑体" w:hAnsi="宋体" w:eastAsia="黑体" w:cs="黑体"/>
          <w:i w:val="0"/>
          <w:iCs w:val="0"/>
          <w:caps w:val="0"/>
          <w:color w:val="FF0000"/>
          <w:spacing w:val="0"/>
          <w:sz w:val="28"/>
          <w:szCs w:val="28"/>
          <w:shd w:val="clear" w:fill="FFFFFF"/>
        </w:rPr>
        <w:t>。</w:t>
      </w:r>
    </w:p>
    <w:p w14:paraId="2FD762A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四、保证金交纳</w:t>
      </w:r>
    </w:p>
    <w:p w14:paraId="421212A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竞价前，竞买人须在北交互联平台注册账号并通过实名认证（已注册北交互联平台账号的需通过实名认证）。</w:t>
      </w:r>
    </w:p>
    <w:p w14:paraId="4CAE7E3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竞买人应认真阅读本公告、《竞价须知》、《标的调查表》等竞买文件，一经出价即视为接受全部竞买文件内容且无异议。</w:t>
      </w:r>
    </w:p>
    <w:p w14:paraId="6BD448B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竞买人应在竞价结束前交纳保证金，取得竞买资格</w:t>
      </w:r>
      <w:r>
        <w:rPr>
          <w:rFonts w:hint="eastAsia" w:ascii="黑体" w:hAnsi="宋体" w:eastAsia="黑体" w:cs="黑体"/>
          <w:i w:val="0"/>
          <w:iCs w:val="0"/>
          <w:caps w:val="0"/>
          <w:color w:val="000000"/>
          <w:spacing w:val="0"/>
          <w:sz w:val="28"/>
          <w:szCs w:val="28"/>
          <w:shd w:val="clear" w:fill="FFFFFF"/>
        </w:rPr>
        <w:t>。保证金金额一般较大，建议提前1-2天交纳保证金，以免错过竞价时间。具体要求请阅读竞价页面内的《竞价须知》及北交互联平台的相关规则。保证金服务热线:400-689-1566。</w:t>
      </w:r>
    </w:p>
    <w:p w14:paraId="60EB9C7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企业参与竞买，请竞买人提前3个工作日完成注册登录，并及时交纳保证金。如因竞买人未按此条提示规定的时间交纳保证金，导致北京产权交易所指定账户在竞价结束前未能全额收到竞买人交纳的保证金，无法为竞买人开通竞买权限，所产生的一切后果由竞买人自行承担，管理人与北交互联平台均不就此承担任何责任。</w:t>
      </w:r>
    </w:p>
    <w:p w14:paraId="08E6300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竞价结束前，竞买人缴纳的保证金将被锁定，锁定期间不计利息。</w:t>
      </w:r>
    </w:p>
    <w:p w14:paraId="45D6573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五、咨询、展示时间与方式</w:t>
      </w:r>
    </w:p>
    <w:p w14:paraId="2ECC18B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1、本拍品不组织看样。</w:t>
      </w:r>
    </w:p>
    <w:p w14:paraId="4775AD5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2、有意者可于项目发布日起至竞价前一个工作日工作时间内联系管理人，咨询上述拍卖标的的相关情况。联系人：刘律师 18001106958；魏律师：16601105278。</w:t>
      </w:r>
    </w:p>
    <w:p w14:paraId="4861D55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3、对上述拍卖标的权属有异议者，请于开拍前3个工作日以书面形式向管理人提出并附相关证明材料。</w:t>
      </w:r>
    </w:p>
    <w:p w14:paraId="5831846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六、拍卖方式：</w:t>
      </w:r>
      <w:r>
        <w:rPr>
          <w:rFonts w:hint="eastAsia" w:ascii="黑体" w:hAnsi="宋体" w:eastAsia="黑体" w:cs="黑体"/>
          <w:i w:val="0"/>
          <w:iCs w:val="0"/>
          <w:caps w:val="0"/>
          <w:color w:val="000000"/>
          <w:spacing w:val="0"/>
          <w:sz w:val="28"/>
          <w:szCs w:val="28"/>
          <w:shd w:val="clear" w:fill="FFFFFF"/>
        </w:rPr>
        <w:t>设有保留价的增价拍卖方式，保留价即为起拍价，至少一人报名且出价不低于起拍价。本次拍卖活动设置延时出价功能，在拍卖活动结束前，每最后5分钟如果有竞买人出价，将自动延迟5分钟。</w:t>
      </w:r>
    </w:p>
    <w:p w14:paraId="7D5217B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七、税费及其他费用承担</w:t>
      </w:r>
    </w:p>
    <w:p w14:paraId="35054E7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1、本次竞价活动计价货币为人民币，竞价时的起拍价、成交价均不含买受人在拍卖标的交割时所发生的全部费用。涉及股权交易及变更登记过程中产生的一切税、费由交易双方依法自行承担，具体情况由买受人向相关主管部门自行咨询、核实。买受人在承担后不得据此主张竞价无效或向管理人索偿。</w:t>
      </w:r>
    </w:p>
    <w:p w14:paraId="7773417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2、交易服务费按照成交价款的0.5%由北交互联平台收取，不低于1000元人民币。竞价成交后系统会按照上述费率计算交易服务费具体金额，最高报价方应在拍卖结束（即竞价结束日）后5个工作日内在线支付该笔订单。</w:t>
      </w:r>
    </w:p>
    <w:p w14:paraId="4E5F65D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3、如优先购买权人行使优先权，最高报价方缴纳的交易服务费由优先购买权人承担。</w:t>
      </w:r>
    </w:p>
    <w:p w14:paraId="746F1FA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八、款项支付</w:t>
      </w:r>
    </w:p>
    <w:p w14:paraId="347224C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1、竞价结束后，最高报价方缴纳的保证金将转化为股权过户保证金，由北京产权交易所转入管理人指定账户。待股权过户办理完毕后无息退回；</w:t>
      </w:r>
    </w:p>
    <w:p w14:paraId="1819B1C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2、最高报价方应在竞价结束后5个工作日内将拍卖成交款缴入管理人指定账户（户名：北京文投航美传媒有限公司管理人，开户银行：中国工商银行股份有限公司北京九龙山支行，帐号：0200096239000462494）。</w:t>
      </w:r>
    </w:p>
    <w:p w14:paraId="7B3DFEB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3、如优先购买权人行使优先权，最高报价方缴纳的保证金和拍卖成交款将由管理人予以返还，期间不计利息。</w:t>
      </w:r>
    </w:p>
    <w:p w14:paraId="6830B7E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4、未能竞得的竞买人交纳的保证金在竞价结束后二十四小时内发起原路径返还，具体到账时间以银行入账为准。</w:t>
      </w:r>
    </w:p>
    <w:p w14:paraId="3B8CEAD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九、拍品交付</w:t>
      </w:r>
    </w:p>
    <w:p w14:paraId="48DFF12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1、买受人应于付清全部拍卖成交款后，按照管理人要求时间凭付款凭证及相关身份材料到管理人指定地点签署</w:t>
      </w:r>
      <w:r>
        <w:rPr>
          <w:rFonts w:hint="eastAsia" w:ascii="黑体" w:hAnsi="宋体" w:eastAsia="黑体" w:cs="黑体"/>
          <w:i w:val="0"/>
          <w:iCs w:val="0"/>
          <w:caps w:val="0"/>
          <w:color w:val="FF0000"/>
          <w:spacing w:val="0"/>
          <w:sz w:val="28"/>
          <w:szCs w:val="28"/>
          <w:shd w:val="clear" w:fill="FFFFFF"/>
        </w:rPr>
        <w:t>股权转让协议</w:t>
      </w:r>
      <w:r>
        <w:rPr>
          <w:rFonts w:hint="eastAsia" w:ascii="黑体" w:hAnsi="宋体" w:eastAsia="黑体" w:cs="黑体"/>
          <w:i w:val="0"/>
          <w:iCs w:val="0"/>
          <w:caps w:val="0"/>
          <w:color w:val="000000"/>
          <w:spacing w:val="0"/>
          <w:sz w:val="28"/>
          <w:szCs w:val="28"/>
          <w:shd w:val="clear" w:fill="FFFFFF"/>
        </w:rPr>
        <w:t>成交确认文件。</w:t>
      </w:r>
    </w:p>
    <w:p w14:paraId="2D33BFF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2、拍卖成交确认文件签署当时，管理人将持有的拍卖标的相关资料移交买受人即视为履行完全部交付义务，标的股权的一切风险转移至买受人。</w:t>
      </w:r>
    </w:p>
    <w:p w14:paraId="13CC398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3、</w:t>
      </w:r>
      <w:r>
        <w:rPr>
          <w:rStyle w:val="5"/>
          <w:rFonts w:hint="eastAsia" w:ascii="黑体" w:hAnsi="宋体" w:eastAsia="黑体" w:cs="黑体"/>
          <w:i w:val="0"/>
          <w:iCs w:val="0"/>
          <w:caps w:val="0"/>
          <w:color w:val="000000"/>
          <w:spacing w:val="0"/>
          <w:sz w:val="28"/>
          <w:szCs w:val="28"/>
          <w:shd w:val="clear" w:fill="FFFFFF"/>
        </w:rPr>
        <w:t>管理人在签署成交确认文件时出具股权转让通知，由买受人自行履行通知事宜，</w:t>
      </w:r>
      <w:r>
        <w:rPr>
          <w:rFonts w:hint="eastAsia" w:ascii="黑体" w:hAnsi="宋体" w:eastAsia="黑体" w:cs="黑体"/>
          <w:i w:val="0"/>
          <w:iCs w:val="0"/>
          <w:caps w:val="0"/>
          <w:color w:val="000000"/>
          <w:spacing w:val="0"/>
          <w:sz w:val="28"/>
          <w:szCs w:val="28"/>
          <w:shd w:val="clear" w:fill="FFFFFF"/>
        </w:rPr>
        <w:t>股权变更登记手续亦由买受人自行办理。</w:t>
      </w:r>
      <w:r>
        <w:rPr>
          <w:rStyle w:val="5"/>
          <w:rFonts w:hint="eastAsia" w:ascii="黑体" w:hAnsi="宋体" w:eastAsia="黑体" w:cs="黑体"/>
          <w:i w:val="0"/>
          <w:iCs w:val="0"/>
          <w:caps w:val="0"/>
          <w:color w:val="000000"/>
          <w:spacing w:val="0"/>
          <w:sz w:val="28"/>
          <w:szCs w:val="28"/>
          <w:shd w:val="clear" w:fill="FFFFFF"/>
        </w:rPr>
        <w:t>转让过程中产生的全部税、费均由交易双方依法自行承担，未明确缴费义务人的费用由买受人承担。管理人对办理转让登记手续提供必要协助。</w:t>
      </w:r>
    </w:p>
    <w:p w14:paraId="7C48E97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4、买受人应于拍卖成交确认文件签署之日起30日内完成股权过户登记事项。如因股权查封冻结无法办理的，应在股权解封之日起10日内办理完毕。</w:t>
      </w:r>
    </w:p>
    <w:p w14:paraId="3A2E15B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十、特别提示</w:t>
      </w:r>
    </w:p>
    <w:p w14:paraId="6C4B53F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FF0000"/>
          <w:spacing w:val="0"/>
          <w:sz w:val="28"/>
          <w:szCs w:val="28"/>
          <w:shd w:val="clear" w:fill="FFFFFF"/>
        </w:rPr>
        <w:t>1、竞价结束后，竞买人不得以任何理由悔拍，否则管理人将向悔拍人追究悔拍责任</w:t>
      </w:r>
      <w:r>
        <w:rPr>
          <w:rFonts w:hint="eastAsia" w:ascii="黑体" w:hAnsi="宋体" w:eastAsia="黑体" w:cs="黑体"/>
          <w:i w:val="0"/>
          <w:iCs w:val="0"/>
          <w:caps w:val="0"/>
          <w:color w:val="FF0000"/>
          <w:spacing w:val="0"/>
          <w:sz w:val="28"/>
          <w:szCs w:val="28"/>
          <w:shd w:val="clear" w:fill="FFFFFF"/>
        </w:rPr>
        <w:t>。请竞买人仔细阅读本公告及须知内容后，再行参与竞买活动。</w:t>
      </w:r>
    </w:p>
    <w:p w14:paraId="48BD9EE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FF0000"/>
          <w:spacing w:val="0"/>
          <w:sz w:val="28"/>
          <w:szCs w:val="28"/>
          <w:shd w:val="clear" w:fill="FFFFFF"/>
        </w:rPr>
        <w:t>2、本次竞价活动计价货币为人民币，竞价时的起拍价、成交价均不含买受人在竞价拍卖标的交割时所发生的全部费用。涉及股权交易及变更登记过程中产生的一切税、费由交易双方依法自行承担，具体情况由买受人向相关主管部门自行咨询、核实。买受人在承担后不得据此主张竞价无效或向管理人索偿。</w:t>
      </w:r>
    </w:p>
    <w:p w14:paraId="0CD7BD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FF0000"/>
          <w:spacing w:val="0"/>
          <w:sz w:val="28"/>
          <w:szCs w:val="28"/>
          <w:u w:val="single"/>
          <w:shd w:val="clear" w:fill="FFFFFF"/>
        </w:rPr>
        <w:t>3、管理人郑重提醒各竞买人，股权价值与公司资产及经营情况等诸多因素相关，并存在一定的潜在风险。竞买人应自行对标的公司开展尽职调查，竞买人参与本次拍卖的，视为接受标的股权现状及所有瑕疵，管理人不承担拍卖标的涉及的风险及瑕疵保证责任，拍卖标的瑕疵及风险包括但不限于目标公司资产负债状况、经营状况、诉讼仲裁状况、财务资料是否保存完好、文件资料是否齐全、标的股权是否能够过户、相应股权是否出资等风险。</w:t>
      </w:r>
    </w:p>
    <w:p w14:paraId="4E573C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FF0000"/>
          <w:spacing w:val="0"/>
          <w:sz w:val="28"/>
          <w:szCs w:val="28"/>
          <w:u w:val="single"/>
          <w:shd w:val="clear" w:fill="FFFFFF"/>
        </w:rPr>
        <w:t>4.管理人不承诺和保证本次拍品的价值等。</w:t>
      </w:r>
    </w:p>
    <w:p w14:paraId="16D57C4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十一、违约处理</w:t>
      </w:r>
    </w:p>
    <w:p w14:paraId="1A592AB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拍卖成交后，有下列情形之一的，则视为买受人悔拍，管理人自买受人悔拍之日的次日起可以再次就拍卖标的发拍，即重新处置，买受人缴纳的保证金不予退还，依次用于支付拍卖产生的费用损失、弥补重新拍卖价款低于原拍卖价款的差价，如有剩余作为违约金支付给管理人。重新处置时，原买受人不得参加竞买。重新处置的价款低于原处置价款造成的差价、费用损失均由买受人承担，如保证金和已付的价款不足以承担的，管理人将继续向原买受人追偿。视为悔拍的情形包括：</w:t>
      </w:r>
    </w:p>
    <w:p w14:paraId="3C80933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1、买受人逾期未支付全部成交款的；</w:t>
      </w:r>
    </w:p>
    <w:p w14:paraId="276C29A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2、买受人逾期未签署拍卖成交确认文件的；</w:t>
      </w:r>
    </w:p>
    <w:p w14:paraId="6A926A5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3、买受人逾期办理交接手续的；</w:t>
      </w:r>
    </w:p>
    <w:p w14:paraId="07745F6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4、买受人逾期未启动办理变更登记手续的。</w:t>
      </w:r>
    </w:p>
    <w:p w14:paraId="1E1ECC3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2" w:firstLineChars="200"/>
        <w:textAlignment w:val="auto"/>
        <w:rPr>
          <w:rFonts w:hint="eastAsia" w:ascii="宋体" w:hAnsi="宋体" w:eastAsia="宋体" w:cs="宋体"/>
          <w:i w:val="0"/>
          <w:iCs w:val="0"/>
          <w:caps w:val="0"/>
          <w:color w:val="000000"/>
          <w:spacing w:val="0"/>
          <w:sz w:val="18"/>
          <w:szCs w:val="18"/>
        </w:rPr>
      </w:pPr>
      <w:r>
        <w:rPr>
          <w:rStyle w:val="5"/>
          <w:rFonts w:hint="eastAsia" w:ascii="黑体" w:hAnsi="宋体" w:eastAsia="黑体" w:cs="黑体"/>
          <w:i w:val="0"/>
          <w:iCs w:val="0"/>
          <w:caps w:val="0"/>
          <w:color w:val="000000"/>
          <w:spacing w:val="0"/>
          <w:sz w:val="28"/>
          <w:szCs w:val="28"/>
          <w:shd w:val="clear" w:fill="FFFFFF"/>
        </w:rPr>
        <w:t>十二、其他事项</w:t>
      </w:r>
    </w:p>
    <w:p w14:paraId="56F96E5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竞买人在拍卖竞价前请务必再仔细阅读管理人发布本公告、《竞价须知》、《拍卖标的调查表》等竞买文件，审慎出价。</w:t>
      </w:r>
    </w:p>
    <w:p w14:paraId="08FE762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本规则其他未尽事宜，请向管理人咨询。</w:t>
      </w:r>
    </w:p>
    <w:p w14:paraId="451CD44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管理人联系人：刘律师 18001106958；魏律师：16601105278。</w:t>
      </w:r>
    </w:p>
    <w:p w14:paraId="4CCD57F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北交所联系人：张经理：010-83143102</w:t>
      </w:r>
    </w:p>
    <w:p w14:paraId="2296AD32">
      <w:pPr>
        <w:pStyle w:val="2"/>
        <w:keepNext w:val="0"/>
        <w:keepLines w:val="0"/>
        <w:pageBreakBefore w:val="0"/>
        <w:widowControl/>
        <w:suppressLineNumbers w:val="0"/>
        <w:kinsoku/>
        <w:wordWrap/>
        <w:overflowPunct/>
        <w:topLinePunct w:val="0"/>
        <w:autoSpaceDE/>
        <w:autoSpaceDN/>
        <w:bidi w:val="0"/>
        <w:adjustRightInd/>
        <w:snapToGrid/>
        <w:spacing w:before="23" w:beforeAutospacing="0" w:after="23" w:afterAutospacing="0" w:line="360" w:lineRule="auto"/>
        <w:ind w:left="0" w:firstLine="560" w:firstLineChars="200"/>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rPr>
        <w:t>北交互联平台技术咨询：400-612-1717转3</w:t>
      </w:r>
    </w:p>
    <w:p w14:paraId="169B321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 w:beforeAutospacing="0" w:after="30" w:afterAutospacing="0" w:line="360" w:lineRule="auto"/>
        <w:ind w:left="0" w:firstLine="560" w:firstLineChars="200"/>
        <w:jc w:val="righ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shd w:val="clear" w:fill="FFFFFF"/>
        </w:rPr>
        <w:t>北京文投航美传媒有限公司管理人</w:t>
      </w:r>
    </w:p>
    <w:p w14:paraId="1CD66B58">
      <w:pPr>
        <w:pStyle w:val="2"/>
        <w:keepNext w:val="0"/>
        <w:keepLines w:val="0"/>
        <w:pageBreakBefore w:val="0"/>
        <w:widowControl/>
        <w:suppressLineNumbers w:val="0"/>
        <w:kinsoku/>
        <w:wordWrap/>
        <w:overflowPunct/>
        <w:topLinePunct w:val="0"/>
        <w:autoSpaceDE/>
        <w:autoSpaceDN/>
        <w:bidi w:val="0"/>
        <w:adjustRightInd/>
        <w:snapToGrid/>
        <w:spacing w:line="360" w:lineRule="auto"/>
        <w:ind w:left="0" w:firstLine="560" w:firstLineChars="200"/>
        <w:jc w:val="righ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sz w:val="28"/>
          <w:szCs w:val="28"/>
        </w:rPr>
        <w:t>二〇二六年九月</w:t>
      </w:r>
      <w:r>
        <w:rPr>
          <w:rFonts w:hint="eastAsia" w:ascii="黑体" w:hAnsi="宋体" w:eastAsia="黑体" w:cs="黑体"/>
          <w:i w:val="0"/>
          <w:iCs w:val="0"/>
          <w:caps w:val="0"/>
          <w:color w:val="000000"/>
          <w:spacing w:val="0"/>
          <w:sz w:val="28"/>
          <w:szCs w:val="28"/>
          <w:lang w:val="en-US" w:eastAsia="zh-CN"/>
        </w:rPr>
        <w:t>十</w:t>
      </w:r>
      <w:bookmarkStart w:id="0" w:name="_GoBack"/>
      <w:bookmarkEnd w:id="0"/>
      <w:r>
        <w:rPr>
          <w:rFonts w:hint="eastAsia" w:ascii="黑体" w:hAnsi="宋体" w:eastAsia="黑体" w:cs="黑体"/>
          <w:i w:val="0"/>
          <w:iCs w:val="0"/>
          <w:caps w:val="0"/>
          <w:color w:val="000000"/>
          <w:spacing w:val="0"/>
          <w:sz w:val="28"/>
          <w:szCs w:val="28"/>
        </w:rPr>
        <w:t>日</w:t>
      </w:r>
    </w:p>
    <w:p w14:paraId="3B78F352">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p>
    <w:p w14:paraId="0D6BE7F7">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p>
    <w:p w14:paraId="54E5E754">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p>
    <w:p w14:paraId="5B41EE73">
      <w:pPr>
        <w:pStyle w:val="2"/>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p>
    <w:p w14:paraId="6D9EEE40">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60" w:beforeAutospacing="0" w:after="60" w:afterAutospacing="0" w:line="360" w:lineRule="auto"/>
        <w:ind w:left="0" w:firstLine="560" w:firstLineChars="200"/>
        <w:jc w:val="right"/>
        <w:textAlignment w:val="auto"/>
        <w:rPr>
          <w:rFonts w:hint="eastAsia" w:ascii="黑体" w:hAnsi="黑体" w:eastAsia="黑体" w:cs="黑体"/>
          <w:i w:val="0"/>
          <w:iCs w:val="0"/>
          <w:caps w:val="0"/>
          <w:color w:val="000000"/>
          <w:spacing w:val="0"/>
          <w:sz w:val="28"/>
          <w:szCs w:val="28"/>
        </w:rPr>
      </w:pPr>
    </w:p>
    <w:p w14:paraId="7783EFC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黑体" w:hAnsi="黑体" w:eastAsia="黑体" w:cs="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53DF3"/>
    <w:rsid w:val="0AD02229"/>
    <w:rsid w:val="0D73644E"/>
    <w:rsid w:val="0DC521BD"/>
    <w:rsid w:val="24564A4C"/>
    <w:rsid w:val="392F7DAA"/>
    <w:rsid w:val="3F7D5EC9"/>
    <w:rsid w:val="639E40F8"/>
    <w:rsid w:val="720E4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4019</Words>
  <Characters>4239</Characters>
  <Paragraphs>84</Paragraphs>
  <TotalTime>10</TotalTime>
  <ScaleCrop>false</ScaleCrop>
  <LinksUpToDate>false</LinksUpToDate>
  <CharactersWithSpaces>4241</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2026-03-09T07:59:00Z</dcterms:created>
  <dc:creator>小鑫</dc:creator>
  <cp:lastModifiedBy>monkey</cp:lastModifiedBy>
  <dcterms:modified xsi:type="dcterms:W3CDTF">2026-09-10T06:24:41Z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eyJoZGlkIjoiYmI4ZjZkNjRlMzEyNTRhNTQ5YjY1OTA0MTdkMjdhNjQiLCJ1c2VySWQiOiIzMTk2NjYwOTUifQ==</vt:lpwstr>
  </property>
  <property fmtid="{D5CDD505-2E9C-101B-9397-08002B2CF9AE}" pid="4" name="ICV">
    <vt:lpwstr>e3a6172f37574a19b9114d76469456a8_23</vt:lpwstr>
  </property>
</Properties>
</file>