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726C5113">
      <w:pPr>
        <w:jc w:val="center"/>
        <w:rPr>
          <w:rFonts w:hint="eastAsia" w:ascii="宋体" w:hAnsi="宋体" w:eastAsia="宋体" w:cs="宋体"/>
          <w:b/>
          <w:bCs/>
          <w:color w:val="auto"/>
          <w:sz w:val="36"/>
          <w:szCs w:val="36"/>
          <w:highlight w:val="none"/>
          <w:lang w:val="en-US" w:eastAsia="zh-CN"/>
        </w:rPr>
      </w:pPr>
      <w:bookmarkStart w:id="0" w:name="_GoBack"/>
      <w:bookmarkEnd w:id="0"/>
      <w:r>
        <w:rPr>
          <w:rFonts w:hint="eastAsia" w:ascii="宋体" w:hAnsi="宋体" w:eastAsia="宋体" w:cs="宋体"/>
          <w:b/>
          <w:bCs/>
          <w:color w:val="auto"/>
          <w:sz w:val="36"/>
          <w:szCs w:val="36"/>
          <w:highlight w:val="none"/>
          <w:lang w:val="en-US" w:eastAsia="zh-CN"/>
        </w:rPr>
        <w:t>菏泽津源节能保温材料有限公司</w:t>
      </w:r>
    </w:p>
    <w:p w14:paraId="337A7E4F">
      <w:pPr>
        <w:jc w:val="center"/>
        <w:rPr>
          <w:rFonts w:hint="eastAsia" w:ascii="宋体" w:hAnsi="宋体" w:eastAsia="宋体" w:cs="宋体"/>
          <w:b/>
          <w:bCs/>
          <w:color w:val="auto"/>
          <w:sz w:val="36"/>
          <w:szCs w:val="36"/>
          <w:highlight w:val="none"/>
          <w:lang w:val="en-US" w:eastAsia="zh-CN"/>
        </w:rPr>
      </w:pPr>
      <w:r>
        <w:rPr>
          <w:rFonts w:hint="eastAsia" w:ascii="宋体" w:hAnsi="宋体" w:eastAsia="宋体" w:cs="宋体"/>
          <w:b/>
          <w:bCs/>
          <w:color w:val="auto"/>
          <w:sz w:val="36"/>
          <w:szCs w:val="36"/>
          <w:highlight w:val="none"/>
          <w:lang w:val="en-US" w:eastAsia="zh-CN"/>
        </w:rPr>
        <w:t>破产财产（土地、房产、报废机器设备等）</w:t>
      </w:r>
    </w:p>
    <w:p w14:paraId="77BF7B2C">
      <w:pPr>
        <w:jc w:val="center"/>
        <w:rPr>
          <w:rFonts w:hint="eastAsia" w:ascii="宋体" w:hAnsi="宋体" w:eastAsia="宋体" w:cs="宋体"/>
          <w:b/>
          <w:bCs/>
          <w:color w:val="auto"/>
          <w:sz w:val="28"/>
          <w:szCs w:val="28"/>
          <w:highlight w:val="none"/>
          <w:lang w:val="en-US" w:eastAsia="zh-CN"/>
        </w:rPr>
      </w:pPr>
      <w:r>
        <w:rPr>
          <w:rFonts w:hint="eastAsia" w:ascii="宋体" w:hAnsi="宋体" w:eastAsia="宋体" w:cs="宋体"/>
          <w:b/>
          <w:bCs/>
          <w:color w:val="auto"/>
          <w:sz w:val="36"/>
          <w:szCs w:val="36"/>
          <w:highlight w:val="none"/>
          <w:lang w:val="en-US" w:eastAsia="zh-CN"/>
        </w:rPr>
        <w:t>第十一次拍卖（竞买）须知</w:t>
      </w:r>
    </w:p>
    <w:p w14:paraId="17AAC1F9">
      <w:pPr>
        <w:jc w:val="center"/>
        <w:rPr>
          <w:rFonts w:hint="eastAsia" w:ascii="宋体" w:hAnsi="宋体" w:eastAsia="宋体" w:cs="宋体"/>
          <w:b/>
          <w:bCs/>
          <w:color w:val="auto"/>
          <w:sz w:val="28"/>
          <w:szCs w:val="28"/>
          <w:highlight w:val="none"/>
          <w:lang w:val="en-US" w:eastAsia="zh-CN"/>
        </w:rPr>
      </w:pPr>
    </w:p>
    <w:p w14:paraId="170B4F49">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菏泽津源节能保温材料有限公司管理人将于202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年【9】月【</w:t>
      </w:r>
      <w:r>
        <w:rPr>
          <w:rFonts w:hint="eastAsia" w:ascii="仿宋" w:hAnsi="仿宋" w:eastAsia="仿宋" w:cs="仿宋"/>
          <w:color w:val="auto"/>
          <w:sz w:val="28"/>
          <w:szCs w:val="28"/>
          <w:highlight w:val="none"/>
          <w:lang w:val="en-US" w:eastAsia="zh-CN"/>
        </w:rPr>
        <w:t>22</w:t>
      </w:r>
      <w:r>
        <w:rPr>
          <w:rFonts w:hint="eastAsia" w:ascii="仿宋" w:hAnsi="仿宋" w:eastAsia="仿宋" w:cs="仿宋"/>
          <w:color w:val="auto"/>
          <w:sz w:val="28"/>
          <w:szCs w:val="28"/>
          <w:highlight w:val="none"/>
        </w:rPr>
        <w:t>】日9时至202</w:t>
      </w:r>
      <w:r>
        <w:rPr>
          <w:rFonts w:hint="eastAsia" w:ascii="仿宋" w:hAnsi="仿宋" w:eastAsia="仿宋" w:cs="仿宋"/>
          <w:color w:val="auto"/>
          <w:sz w:val="28"/>
          <w:szCs w:val="28"/>
          <w:highlight w:val="none"/>
          <w:lang w:val="en-US" w:eastAsia="zh-CN"/>
        </w:rPr>
        <w:t>6</w:t>
      </w:r>
      <w:r>
        <w:rPr>
          <w:rFonts w:hint="eastAsia" w:ascii="仿宋" w:hAnsi="仿宋" w:eastAsia="仿宋" w:cs="仿宋"/>
          <w:color w:val="auto"/>
          <w:sz w:val="28"/>
          <w:szCs w:val="28"/>
          <w:highlight w:val="none"/>
        </w:rPr>
        <w:t>年【9】月【</w:t>
      </w:r>
      <w:r>
        <w:rPr>
          <w:rFonts w:hint="eastAsia" w:ascii="仿宋" w:hAnsi="仿宋" w:eastAsia="仿宋" w:cs="仿宋"/>
          <w:color w:val="auto"/>
          <w:sz w:val="28"/>
          <w:szCs w:val="28"/>
          <w:highlight w:val="none"/>
          <w:lang w:val="en-US" w:eastAsia="zh-CN"/>
        </w:rPr>
        <w:t>24</w:t>
      </w:r>
      <w:r>
        <w:rPr>
          <w:rFonts w:hint="eastAsia" w:ascii="仿宋" w:hAnsi="仿宋" w:eastAsia="仿宋" w:cs="仿宋"/>
          <w:color w:val="auto"/>
          <w:sz w:val="28"/>
          <w:szCs w:val="28"/>
          <w:highlight w:val="none"/>
        </w:rPr>
        <w:t>】日17时止（延时除外）在京东拍卖破产强清平台（处置单位：菏泽津源节能保温材料有限公司，监督单位：菏泽市中级人民法院，网址：https://auction.jd.com/bankrupt.html）进行公开拍卖活动，现就网上拍卖有关事宜敬告各位竞买人：</w:t>
      </w:r>
    </w:p>
    <w:p w14:paraId="37AA5A89">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一、本《竞买须知》根据</w:t>
      </w:r>
      <w:r>
        <w:rPr>
          <w:rFonts w:hint="eastAsia" w:ascii="仿宋" w:hAnsi="仿宋" w:eastAsia="仿宋" w:cs="仿宋"/>
          <w:color w:val="auto"/>
          <w:sz w:val="28"/>
          <w:szCs w:val="28"/>
          <w:highlight w:val="none"/>
          <w:lang w:val="en-US" w:eastAsia="zh-CN"/>
        </w:rPr>
        <w:t>民法典、民事诉讼法</w:t>
      </w:r>
      <w:r>
        <w:rPr>
          <w:rFonts w:hint="eastAsia" w:ascii="仿宋" w:hAnsi="仿宋" w:eastAsia="仿宋" w:cs="仿宋"/>
          <w:color w:val="auto"/>
          <w:sz w:val="28"/>
          <w:szCs w:val="28"/>
          <w:highlight w:val="none"/>
        </w:rPr>
        <w:t>等相关法律规定所制订，竞买人应认真仔细阅读，了解本须知的全部内容。</w:t>
      </w:r>
      <w:r>
        <w:rPr>
          <w:rFonts w:hint="eastAsia" w:ascii="仿宋" w:hAnsi="仿宋" w:eastAsia="仿宋" w:cs="仿宋"/>
          <w:color w:val="auto"/>
          <w:sz w:val="28"/>
          <w:szCs w:val="28"/>
          <w:highlight w:val="none"/>
        </w:rPr>
        <w:br w:type="textWrapping"/>
      </w:r>
      <w:r>
        <w:rPr>
          <w:rFonts w:hint="eastAsia" w:ascii="仿宋" w:hAnsi="仿宋" w:eastAsia="仿宋" w:cs="仿宋"/>
          <w:color w:val="auto"/>
          <w:sz w:val="28"/>
          <w:szCs w:val="28"/>
          <w:highlight w:val="none"/>
        </w:rPr>
        <w:t xml:space="preserve">    二、本次竞价活动遵循“公开、公平、公正、诚实守信”的原则，竞价活动具备法律效力。参加本次竞价活动的当事人和竞买人必须遵守本须知的各项条款，并对自己的行为承担法律责任。</w:t>
      </w:r>
    </w:p>
    <w:p w14:paraId="6FA7737A">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三、拍卖标的：</w:t>
      </w:r>
    </w:p>
    <w:p w14:paraId="6CC46D14">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1、菏泽津源节能保温材料有限公司（以下简称津源公司）位于鄄城县沃蓝化工北、临商公路东的房地产以及报废的机器设备一宗。具体为：（1）土地使用权：土地证号为鄄国用（2012）第0069号，坐落于鄄城县沃蓝化工北、临商公路东，用途为工业用地，面积为65170.9㎡，终止日期为2062年9月23日；（2）房屋建筑物：房产证号为鄄房权证凤凰字第1200616号，坐落于鄄城县经济开发区临商路复线东侧、府前街南侧，规划用途为工业，登记面积为22,996.35平方米；（3）机器设备：主要指法院查封的由鄄城县鲁鑫纺织有限公司代为保管部分机器设备，主要包括半自动压板机、半自动发泡机、全自动切板机等等，以上设备年限久远、损耗锈蚀严重，技术落后，已无再利用使用价值，仅剩废品残值</w:t>
      </w:r>
      <w:r>
        <w:rPr>
          <w:rFonts w:hint="eastAsia" w:ascii="仿宋" w:hAnsi="仿宋" w:eastAsia="仿宋" w:cs="仿宋"/>
          <w:color w:val="auto"/>
          <w:sz w:val="28"/>
          <w:szCs w:val="28"/>
          <w:highlight w:val="none"/>
          <w:lang w:eastAsia="zh-CN"/>
        </w:rPr>
        <w:t>。</w:t>
      </w:r>
    </w:p>
    <w:p w14:paraId="4A9D5D96">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竞买人可酌情参考以下附件：《菏泽津源节能保温材料有限公司破产清算涉及的固定资产和无形资产清算价值评估报告》（节选）[编号：坤信评报字[2023]第临2号]以及后附评估明细表；房产登记档案资料；现场照片；现场全景VR资料。</w:t>
      </w:r>
    </w:p>
    <w:p w14:paraId="690B8FA8">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有关照片、视频以及全景VR资料等系在首次拍卖之前采集、上述描述和附件文件仅为对拍品概况的初步介绍，本公告、须知中对拍品的描述以及附件中各项文件、照片、视频、全景VR均不代表拍品的最新状态也不视为对拍品现状的承诺和担保。拍卖标的之具体情况包括但不限于数量、质量、外观、产权情况、物理性质、法律性质等等均以现状为准，竞买人应当自行尽职调查、现场看样并立足于自行尽调的结论做出竞买与否、出价金额的判断，并自行承担全部法律后果。请竞买人予以充分注意。</w:t>
      </w:r>
    </w:p>
    <w:p w14:paraId="62E1B1EE">
      <w:pPr>
        <w:ind w:firstLine="560" w:firstLineChars="200"/>
        <w:rPr>
          <w:rFonts w:hint="eastAsia" w:ascii="仿宋" w:hAnsi="仿宋" w:eastAsia="仿宋" w:cs="仿宋"/>
          <w:b/>
          <w:bCs/>
          <w:color w:val="auto"/>
          <w:sz w:val="28"/>
          <w:szCs w:val="28"/>
          <w:highlight w:val="none"/>
        </w:rPr>
      </w:pPr>
      <w:r>
        <w:rPr>
          <w:rFonts w:hint="eastAsia" w:ascii="仿宋" w:hAnsi="仿宋" w:eastAsia="仿宋" w:cs="仿宋"/>
          <w:color w:val="auto"/>
          <w:sz w:val="28"/>
          <w:szCs w:val="28"/>
          <w:highlight w:val="none"/>
        </w:rPr>
        <w:t>2</w:t>
      </w:r>
      <w:r>
        <w:rPr>
          <w:rFonts w:hint="eastAsia" w:ascii="仿宋" w:hAnsi="仿宋" w:eastAsia="仿宋" w:cs="仿宋"/>
          <w:color w:val="auto"/>
          <w:sz w:val="28"/>
          <w:szCs w:val="28"/>
          <w:highlight w:val="none"/>
          <w:lang w:eastAsia="zh-CN"/>
        </w:rPr>
        <w:t>、</w:t>
      </w:r>
      <w:r>
        <w:rPr>
          <w:rFonts w:hint="eastAsia" w:ascii="仿宋" w:hAnsi="仿宋" w:eastAsia="仿宋" w:cs="仿宋"/>
          <w:b/>
          <w:bCs/>
          <w:color w:val="auto"/>
          <w:sz w:val="28"/>
          <w:szCs w:val="28"/>
          <w:highlight w:val="none"/>
        </w:rPr>
        <w:t>起拍价：</w:t>
      </w:r>
      <w:r>
        <w:rPr>
          <w:rFonts w:hint="eastAsia" w:ascii="仿宋" w:hAnsi="仿宋" w:eastAsia="仿宋" w:cs="仿宋"/>
          <w:b/>
          <w:bCs/>
          <w:color w:val="auto"/>
          <w:sz w:val="28"/>
          <w:szCs w:val="28"/>
          <w:highlight w:val="none"/>
          <w:lang w:val="en-US" w:eastAsia="zh-CN"/>
        </w:rPr>
        <w:t>820</w:t>
      </w:r>
      <w:r>
        <w:rPr>
          <w:rFonts w:hint="eastAsia" w:ascii="仿宋" w:hAnsi="仿宋" w:eastAsia="仿宋" w:cs="仿宋"/>
          <w:b/>
          <w:bCs/>
          <w:color w:val="auto"/>
          <w:sz w:val="28"/>
          <w:szCs w:val="28"/>
          <w:highlight w:val="none"/>
        </w:rPr>
        <w:t>万元，保证金：</w:t>
      </w:r>
      <w:r>
        <w:rPr>
          <w:rFonts w:hint="eastAsia" w:ascii="仿宋" w:hAnsi="仿宋" w:eastAsia="仿宋" w:cs="仿宋"/>
          <w:b/>
          <w:bCs/>
          <w:color w:val="auto"/>
          <w:sz w:val="28"/>
          <w:szCs w:val="28"/>
          <w:highlight w:val="none"/>
          <w:lang w:val="en-US" w:eastAsia="zh-CN"/>
        </w:rPr>
        <w:t>82</w:t>
      </w:r>
      <w:r>
        <w:rPr>
          <w:rFonts w:hint="eastAsia" w:ascii="仿宋" w:hAnsi="仿宋" w:eastAsia="仿宋" w:cs="仿宋"/>
          <w:b/>
          <w:bCs/>
          <w:color w:val="auto"/>
          <w:sz w:val="28"/>
          <w:szCs w:val="28"/>
          <w:highlight w:val="none"/>
        </w:rPr>
        <w:t>万元，增价幅度：1万元及其整数倍。</w:t>
      </w:r>
    </w:p>
    <w:p w14:paraId="79EB71A8">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重要提示:（1）竞买人应当具备完全民事行为能力，法律、行政法规和司法解释对买受人资格或者条件有特殊规定的，竞买人应当具备规定的资格或者条件。管理人提示竞买人应当重视对竞买资格的尽调研判，提前咨询相关登记机关，防止出现竞买后无法过户、无法移交</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无法处分</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使用</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收益</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rPr>
        <w:t>无法开发建设经营的不利后果。竞买人对其竞买资格自行承担一切责任；（</w:t>
      </w:r>
      <w:r>
        <w:rPr>
          <w:rFonts w:hint="eastAsia" w:ascii="仿宋" w:hAnsi="仿宋" w:eastAsia="仿宋" w:cs="仿宋"/>
          <w:color w:val="auto"/>
          <w:sz w:val="28"/>
          <w:szCs w:val="28"/>
          <w:highlight w:val="none"/>
          <w:lang w:val="en-US" w:eastAsia="zh-CN"/>
        </w:rPr>
        <w:t>2</w:t>
      </w:r>
      <w:r>
        <w:rPr>
          <w:rFonts w:hint="eastAsia" w:ascii="仿宋" w:hAnsi="仿宋" w:eastAsia="仿宋" w:cs="仿宋"/>
          <w:color w:val="auto"/>
          <w:sz w:val="28"/>
          <w:szCs w:val="28"/>
          <w:highlight w:val="none"/>
        </w:rPr>
        <w:t>）本次拍卖标的情况较为复杂，标的物现状与证载情况差别较大，如8号厂房仅剩基础与水泥柱、部分厂房屋顶有缺失等等</w:t>
      </w:r>
      <w:r>
        <w:rPr>
          <w:rFonts w:hint="eastAsia" w:ascii="仿宋" w:hAnsi="仿宋" w:eastAsia="仿宋" w:cs="仿宋"/>
          <w:color w:val="auto"/>
          <w:sz w:val="28"/>
          <w:szCs w:val="28"/>
          <w:highlight w:val="none"/>
          <w:lang w:eastAsia="zh-CN"/>
        </w:rPr>
        <w:t>。</w:t>
      </w:r>
      <w:r>
        <w:rPr>
          <w:rFonts w:hint="eastAsia" w:ascii="仿宋" w:hAnsi="仿宋" w:eastAsia="仿宋" w:cs="仿宋"/>
          <w:color w:val="auto"/>
          <w:sz w:val="28"/>
          <w:szCs w:val="28"/>
          <w:highlight w:val="none"/>
          <w:lang w:val="en-US" w:eastAsia="zh-CN"/>
        </w:rPr>
        <w:t>本次拍卖全部</w:t>
      </w:r>
      <w:r>
        <w:rPr>
          <w:rFonts w:hint="eastAsia" w:ascii="仿宋" w:hAnsi="仿宋" w:eastAsia="仿宋" w:cs="仿宋"/>
          <w:color w:val="auto"/>
          <w:sz w:val="28"/>
          <w:szCs w:val="28"/>
          <w:highlight w:val="none"/>
        </w:rPr>
        <w:t>标的物以其现状为准，管理人不承担拍卖资产的任何瑕疵保证责任，包括但不限于建筑物外观、建筑物主体结构、建筑质量、结构调整、装修损坏、房地产面积差异等，由此产生的问题也不影响拍卖成交结果及成交价格，竞买人应对拍卖标的的产权登记状况、实际状况以及瑕疵（含显性、隐性瑕疵）等自行调查核实、自行承担投资风险。参照最高人民法院有关司法解释规定，拍卖财产以实物现状为准，竞买人可以申请实地看样；竞买人决定参与竞买的，视为对拍卖财产完全了解，并接受拍卖财产一切已知和未知瑕疵；竞买人决定参与竞买的，视为对标的物及相关实物现状的确认和接受，责任自负；（</w:t>
      </w:r>
      <w:r>
        <w:rPr>
          <w:rFonts w:hint="eastAsia" w:ascii="仿宋" w:hAnsi="仿宋" w:eastAsia="仿宋" w:cs="仿宋"/>
          <w:color w:val="auto"/>
          <w:sz w:val="28"/>
          <w:szCs w:val="28"/>
          <w:highlight w:val="none"/>
          <w:lang w:val="en-US" w:eastAsia="zh-CN"/>
        </w:rPr>
        <w:t>3</w:t>
      </w:r>
      <w:r>
        <w:rPr>
          <w:rFonts w:hint="eastAsia" w:ascii="仿宋" w:hAnsi="仿宋" w:eastAsia="仿宋" w:cs="仿宋"/>
          <w:color w:val="auto"/>
          <w:sz w:val="28"/>
          <w:szCs w:val="28"/>
          <w:highlight w:val="none"/>
        </w:rPr>
        <w:t>）评估报告、明细表、现场照片等资料仅供参考</w:t>
      </w:r>
      <w:r>
        <w:rPr>
          <w:rFonts w:hint="eastAsia" w:ascii="仿宋" w:hAnsi="仿宋" w:eastAsia="仿宋" w:cs="仿宋"/>
          <w:color w:val="auto"/>
          <w:sz w:val="28"/>
          <w:szCs w:val="28"/>
          <w:highlight w:val="none"/>
          <w:lang w:val="en-US" w:eastAsia="zh-CN"/>
        </w:rPr>
        <w:t>阅读</w:t>
      </w:r>
      <w:r>
        <w:rPr>
          <w:rFonts w:hint="eastAsia" w:ascii="仿宋" w:hAnsi="仿宋" w:eastAsia="仿宋" w:cs="仿宋"/>
          <w:color w:val="auto"/>
          <w:sz w:val="28"/>
          <w:szCs w:val="28"/>
          <w:highlight w:val="none"/>
        </w:rPr>
        <w:t>，不视为管理人、评估机构等对拍卖标的的</w:t>
      </w:r>
      <w:r>
        <w:rPr>
          <w:rFonts w:hint="eastAsia" w:ascii="仿宋" w:hAnsi="仿宋" w:eastAsia="仿宋" w:cs="仿宋"/>
          <w:color w:val="auto"/>
          <w:sz w:val="28"/>
          <w:szCs w:val="28"/>
          <w:highlight w:val="none"/>
          <w:lang w:val="en-US" w:eastAsia="zh-CN"/>
        </w:rPr>
        <w:t>性质、</w:t>
      </w:r>
      <w:r>
        <w:rPr>
          <w:rFonts w:hint="eastAsia" w:ascii="仿宋" w:hAnsi="仿宋" w:eastAsia="仿宋" w:cs="仿宋"/>
          <w:color w:val="auto"/>
          <w:sz w:val="28"/>
          <w:szCs w:val="28"/>
          <w:highlight w:val="none"/>
        </w:rPr>
        <w:t>价值、产权状况、现状等提供任何担保和瑕疵担保责任;（</w:t>
      </w:r>
      <w:r>
        <w:rPr>
          <w:rFonts w:hint="eastAsia" w:ascii="仿宋" w:hAnsi="仿宋" w:eastAsia="仿宋" w:cs="仿宋"/>
          <w:color w:val="auto"/>
          <w:sz w:val="28"/>
          <w:szCs w:val="28"/>
          <w:highlight w:val="none"/>
          <w:lang w:val="en-US" w:eastAsia="zh-CN"/>
        </w:rPr>
        <w:t>4</w:t>
      </w:r>
      <w:r>
        <w:rPr>
          <w:rFonts w:hint="eastAsia" w:ascii="仿宋" w:hAnsi="仿宋" w:eastAsia="仿宋" w:cs="仿宋"/>
          <w:color w:val="auto"/>
          <w:sz w:val="28"/>
          <w:szCs w:val="28"/>
          <w:highlight w:val="none"/>
        </w:rPr>
        <w:t>）目前场地存在占用情况，尚未有占用人向管理人提供合法占用的协议或文件。因存在占用，建筑物内外装修和扩建、添附情况不清，场地内存在占用人私建地上物等</w:t>
      </w:r>
      <w:r>
        <w:rPr>
          <w:rFonts w:hint="eastAsia" w:ascii="仿宋" w:hAnsi="仿宋" w:eastAsia="仿宋" w:cs="仿宋"/>
          <w:color w:val="auto"/>
          <w:sz w:val="28"/>
          <w:szCs w:val="28"/>
          <w:highlight w:val="none"/>
          <w:lang w:val="en-US" w:eastAsia="zh-CN"/>
        </w:rPr>
        <w:t>情况</w:t>
      </w:r>
      <w:r>
        <w:rPr>
          <w:rFonts w:hint="eastAsia" w:ascii="仿宋" w:hAnsi="仿宋" w:eastAsia="仿宋" w:cs="仿宋"/>
          <w:color w:val="auto"/>
          <w:sz w:val="28"/>
          <w:szCs w:val="28"/>
          <w:highlight w:val="none"/>
        </w:rPr>
        <w:t>。拍卖标的的清场以及腾房事宜均由买受人自行承担，买受人自行处理与占用人的一切争议包括但不限于腾房、清场、装修以及扩建、添附物品产权争议、补偿等等。如买受人需要，管理人可申请法院对资产腾退交接予以协调，但不视为法院和管理人对场地腾退负有义务，对此，请竞买人予以注意。（</w:t>
      </w:r>
      <w:r>
        <w:rPr>
          <w:rFonts w:hint="eastAsia" w:ascii="仿宋" w:hAnsi="仿宋" w:eastAsia="仿宋" w:cs="仿宋"/>
          <w:color w:val="auto"/>
          <w:sz w:val="28"/>
          <w:szCs w:val="28"/>
          <w:highlight w:val="none"/>
          <w:lang w:val="en-US" w:eastAsia="zh-CN"/>
        </w:rPr>
        <w:t>5</w:t>
      </w:r>
      <w:r>
        <w:rPr>
          <w:rFonts w:hint="eastAsia" w:ascii="仿宋" w:hAnsi="仿宋" w:eastAsia="仿宋" w:cs="仿宋"/>
          <w:color w:val="auto"/>
          <w:sz w:val="28"/>
          <w:szCs w:val="28"/>
          <w:highlight w:val="none"/>
        </w:rPr>
        <w:t>）买受人自行处理与周边相关主体的相邻权争议。土地可能存在以租代征情况或负担向当地村委、政府缴纳土地租金的义务，买受人受让土地后自行解决处理上述问题。（6）因津源公司资料文件</w:t>
      </w:r>
      <w:r>
        <w:rPr>
          <w:rFonts w:hint="eastAsia" w:ascii="仿宋" w:hAnsi="仿宋" w:eastAsia="仿宋" w:cs="仿宋"/>
          <w:color w:val="auto"/>
          <w:sz w:val="28"/>
          <w:szCs w:val="28"/>
          <w:highlight w:val="none"/>
          <w:lang w:val="en-US" w:eastAsia="zh-CN"/>
        </w:rPr>
        <w:t>公章</w:t>
      </w:r>
      <w:r>
        <w:rPr>
          <w:rFonts w:hint="eastAsia" w:ascii="仿宋" w:hAnsi="仿宋" w:eastAsia="仿宋" w:cs="仿宋"/>
          <w:color w:val="auto"/>
          <w:sz w:val="28"/>
          <w:szCs w:val="28"/>
          <w:highlight w:val="none"/>
        </w:rPr>
        <w:t>下落不明，</w:t>
      </w:r>
      <w:r>
        <w:rPr>
          <w:rFonts w:hint="eastAsia" w:ascii="仿宋" w:hAnsi="仿宋" w:eastAsia="仿宋" w:cs="仿宋"/>
          <w:color w:val="auto"/>
          <w:sz w:val="28"/>
          <w:szCs w:val="28"/>
          <w:highlight w:val="none"/>
          <w:lang w:val="en-US" w:eastAsia="zh-CN"/>
        </w:rPr>
        <w:t>公司</w:t>
      </w:r>
      <w:r>
        <w:rPr>
          <w:rFonts w:hint="eastAsia" w:ascii="仿宋" w:hAnsi="仿宋" w:eastAsia="仿宋" w:cs="仿宋"/>
          <w:color w:val="auto"/>
          <w:sz w:val="28"/>
          <w:szCs w:val="28"/>
          <w:highlight w:val="none"/>
        </w:rPr>
        <w:t>未移交和提供任何资料，目前管理人未持有土地证、房产证原件，未持有相关规划建设手续等文件，未持有机器设备的发票、合同等基础资料，对此，请竞买人注意。（7）拍卖标的停产停业多年，呈现半开放状态，厂区地面、道路、管网、建筑物、构筑物以及机器设备等年久失修，存在各类安全隐患（包括但不限于坠落、坍塌、倾倒、穿刺、漏电、溺水、动物损害、环境污染等），竞买人自行看样时应委派专业人员、至少两人以上并务必做好各类安全措施，严格确保自身安全，并不得给拍卖标的、周围环境和人员造成财产损失、安全风险和危害。买受人在接管拍卖标的时或使用前，应自行做好或委托专业机构做好充分的安全风险评估和安全隐患排查，严防各类事故。竞买人、买受人发生的任何事故包括</w:t>
      </w:r>
      <w:r>
        <w:rPr>
          <w:rFonts w:hint="eastAsia" w:ascii="仿宋" w:hAnsi="仿宋" w:eastAsia="仿宋" w:cs="仿宋"/>
          <w:color w:val="auto"/>
          <w:sz w:val="28"/>
          <w:szCs w:val="28"/>
          <w:highlight w:val="none"/>
          <w:lang w:val="en-US" w:eastAsia="zh-CN"/>
        </w:rPr>
        <w:t>但</w:t>
      </w:r>
      <w:r>
        <w:rPr>
          <w:rFonts w:hint="eastAsia" w:ascii="仿宋" w:hAnsi="仿宋" w:eastAsia="仿宋" w:cs="仿宋"/>
          <w:color w:val="auto"/>
          <w:sz w:val="28"/>
          <w:szCs w:val="28"/>
          <w:highlight w:val="none"/>
        </w:rPr>
        <w:t>不限于安全或生产事故等均与管理人、拍卖机构无关。</w:t>
      </w:r>
    </w:p>
    <w:p w14:paraId="4F442356">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以上提示，请竞买人</w:t>
      </w:r>
      <w:r>
        <w:rPr>
          <w:rFonts w:hint="eastAsia" w:ascii="仿宋" w:hAnsi="仿宋" w:eastAsia="仿宋" w:cs="仿宋"/>
          <w:color w:val="auto"/>
          <w:sz w:val="28"/>
          <w:szCs w:val="28"/>
          <w:highlight w:val="none"/>
          <w:lang w:val="en-US" w:eastAsia="zh-CN"/>
        </w:rPr>
        <w:t>充分</w:t>
      </w:r>
      <w:r>
        <w:rPr>
          <w:rFonts w:hint="eastAsia" w:ascii="仿宋" w:hAnsi="仿宋" w:eastAsia="仿宋" w:cs="仿宋"/>
          <w:color w:val="auto"/>
          <w:sz w:val="28"/>
          <w:szCs w:val="28"/>
          <w:highlight w:val="none"/>
        </w:rPr>
        <w:t>注意，如有疑问可详询管理人。</w:t>
      </w:r>
    </w:p>
    <w:p w14:paraId="2E3AE37B">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四、竞买人条件：</w:t>
      </w:r>
    </w:p>
    <w:p w14:paraId="6B260663">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 xml:space="preserve">（一）竞买人应当具备完全民事行为能力，法律、行政法规和司法解释对买受人资格或者条件有特殊规定的，竞买人应当具备规定的资格或者条件。管理人提示竞买人应当重视对竞买资格的尽调研判，防止出现竞买后无法过户、无法移交、无法处分使用收益、无法开发建设经营的不利后果。竞买人对其竞买资格自行承担一切责任；     </w:t>
      </w:r>
    </w:p>
    <w:p w14:paraId="1577A893">
      <w:pPr>
        <w:ind w:firstLine="560" w:firstLineChars="200"/>
        <w:rPr>
          <w:rFonts w:hint="eastAsia" w:ascii="仿宋" w:hAnsi="仿宋" w:eastAsia="仿宋" w:cs="仿宋"/>
          <w:color w:val="auto"/>
          <w:sz w:val="28"/>
          <w:szCs w:val="28"/>
          <w:highlight w:val="none"/>
          <w:lang w:val="en-US" w:eastAsia="zh-CN"/>
        </w:rPr>
      </w:pPr>
      <w:r>
        <w:rPr>
          <w:rFonts w:hint="eastAsia" w:ascii="仿宋" w:hAnsi="仿宋" w:eastAsia="仿宋" w:cs="仿宋"/>
          <w:color w:val="auto"/>
          <w:sz w:val="28"/>
          <w:szCs w:val="28"/>
          <w:highlight w:val="none"/>
        </w:rPr>
        <w:t>（二）竞价前，竞买人须在京东注册账号并通过实名认证（已注册京东账号需通过实名认证）。如参与竞买人未在京东拍卖开设账户，</w:t>
      </w:r>
      <w:r>
        <w:rPr>
          <w:rFonts w:hint="eastAsia" w:ascii="仿宋" w:hAnsi="仿宋" w:eastAsia="仿宋" w:cs="仿宋"/>
          <w:color w:val="auto"/>
          <w:sz w:val="28"/>
          <w:szCs w:val="28"/>
          <w:highlight w:val="none"/>
          <w:lang w:val="en-US" w:eastAsia="zh-CN"/>
        </w:rPr>
        <w:t>经法院、管理人同意后</w:t>
      </w:r>
      <w:r>
        <w:rPr>
          <w:rFonts w:hint="eastAsia" w:ascii="仿宋" w:hAnsi="仿宋" w:eastAsia="仿宋" w:cs="仿宋"/>
          <w:color w:val="auto"/>
          <w:sz w:val="28"/>
          <w:szCs w:val="28"/>
          <w:highlight w:val="none"/>
        </w:rPr>
        <w:t>可委托代理人（具备完全民事行为能力的自然人）</w:t>
      </w:r>
      <w:r>
        <w:rPr>
          <w:rFonts w:hint="eastAsia" w:ascii="仿宋" w:hAnsi="仿宋" w:eastAsia="仿宋" w:cs="仿宋"/>
          <w:color w:val="auto"/>
          <w:sz w:val="28"/>
          <w:szCs w:val="28"/>
          <w:highlight w:val="none"/>
          <w:lang w:val="en-US" w:eastAsia="zh-CN"/>
        </w:rPr>
        <w:t>处理</w:t>
      </w:r>
      <w:r>
        <w:rPr>
          <w:rFonts w:hint="eastAsia" w:ascii="仿宋" w:hAnsi="仿宋" w:eastAsia="仿宋" w:cs="仿宋"/>
          <w:color w:val="auto"/>
          <w:sz w:val="28"/>
          <w:szCs w:val="28"/>
          <w:highlight w:val="none"/>
        </w:rPr>
        <w:t>，</w:t>
      </w:r>
      <w:r>
        <w:rPr>
          <w:rFonts w:hint="eastAsia" w:ascii="仿宋" w:hAnsi="仿宋" w:eastAsia="仿宋" w:cs="仿宋"/>
          <w:color w:val="auto"/>
          <w:sz w:val="28"/>
          <w:szCs w:val="28"/>
          <w:highlight w:val="none"/>
          <w:lang w:val="en-US" w:eastAsia="zh-CN"/>
        </w:rPr>
        <w:t>委托人和受托人</w:t>
      </w:r>
      <w:r>
        <w:rPr>
          <w:rFonts w:hint="eastAsia" w:ascii="仿宋" w:hAnsi="仿宋" w:eastAsia="仿宋" w:cs="仿宋"/>
          <w:color w:val="auto"/>
          <w:sz w:val="28"/>
          <w:szCs w:val="28"/>
          <w:highlight w:val="none"/>
        </w:rPr>
        <w:t>须在竞买开始前一同到管理人处办理委托手续；竞买成功后，买受人（委托人）（法定代表人、其他组织的负责人）须与委托代理人一同到管理人处办理交接手续。</w:t>
      </w:r>
    </w:p>
    <w:p w14:paraId="2654AF42">
      <w:pPr>
        <w:ind w:firstLine="560" w:firstLineChars="200"/>
        <w:rPr>
          <w:rFonts w:hint="eastAsia" w:ascii="仿宋" w:hAnsi="仿宋" w:eastAsia="仿宋" w:cs="仿宋"/>
          <w:color w:val="auto"/>
          <w:sz w:val="28"/>
          <w:szCs w:val="28"/>
          <w:highlight w:val="none"/>
        </w:rPr>
      </w:pPr>
      <w:r>
        <w:rPr>
          <w:rFonts w:hint="eastAsia" w:ascii="仿宋" w:hAnsi="仿宋" w:eastAsia="仿宋" w:cs="仿宋"/>
          <w:color w:val="auto"/>
          <w:sz w:val="28"/>
          <w:szCs w:val="28"/>
          <w:highlight w:val="none"/>
        </w:rPr>
        <w:t>（三）法律、行政法规和司法解释对本标的物买受人资格或者条件有特殊规定的，买受人应当具备规定的资格或条件。买受人应事先自行尽调了解上述资格和条件。</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（四）因不符合条件参加竞买的，由竞买人自行承担相应的法律责任。</w:t>
      </w:r>
    </w:p>
    <w:p w14:paraId="22351FFD">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五、竞价方式：</w:t>
      </w:r>
    </w:p>
    <w:p w14:paraId="144DC75D">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竞价从起拍价开始以递增出价方式竞价，增价幅度由管理人确定。竞买人以低于起拍价出价的无效。本次竞价活动设置延时出价功能，在竞价活动结束前，每最后5分钟如果有竞买人出价，就自动延迟5分钟。</w:t>
      </w:r>
    </w:p>
    <w:p w14:paraId="27A1516E">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六、优先购买人：</w:t>
      </w:r>
    </w:p>
    <w:p w14:paraId="04CE6AD9">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次竞价活动如若存在优先竞买人的，优先购买权人参与竞买的，可以与其他竞买人以相同的价格出价，没有更高出价的，竞价财产由优先购买权人竞得。顺序不同的优先购买权人以相同价格出价的，竞价财产由顺序在先的优先购买权人竞得。顺序相同的优先购买权人以相同价格出价的，竞价财产由出价在先的优先购买权人竞得。</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七、保证金：</w:t>
      </w:r>
    </w:p>
    <w:p w14:paraId="6A214CDA">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第一次出价前，意向竞买人须在京东注册账号并通过实名认证（已注册京东账号需通过实名认证），在线支付竞买保证金，支付后系统自动冻结该笔保证金，具体要求请阅读竞价页面内的《竞买须知》、《保证金须知》及京东网络竞价平台告知的竞价流程（竞价前必看）的相关准则。竞价成交的，本标的物竞得者（以下称买受人）冻结的保证金将自动转为部分成交款，由京东结算给管理人指定账户，其他竞买人的保证金在竞价后即时解冻。竞价结束后，未能竞得者的保证金以及竞价未成交的（即流拍的）竞买人的保证金在竞价活动结束后即时解冻，保证金冻结期间不计利息。</w:t>
      </w:r>
    </w:p>
    <w:p w14:paraId="5DCBB6E8">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由于竞买人注册账户、实名认证、开通网银、竞买人的开户银行向京东转账均需时间，为确保交纳的保证金能够在竞价程序结束前到账，竞价标的保证金金额在1000万及以上的，或企业参与竞买的，建议请竞买人在开拍前，至少提前5个工作日办理报名及保证金交纳手续。如因竞买人未能及时完成报名及保证金交纳手续，导致京东在竞价结束前未能全额收到竞买人交纳的保证金，无法为竞买人开通竞买权限，所产生的一切后果由竞买人自行承担，上拍机构、管理人、京东平台均不就此承担任何责任。 </w:t>
      </w:r>
    </w:p>
    <w:p w14:paraId="0F760ED5">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保证金金额往往数额较大，为避免在线支付的过程中，因银行限额而导致无法支付的问题，建议竞买人提前去相关银行办理提高网银支付限额的业务。如保证金金额超出竞买人开户银行制订的最高网银支付限额，建议采取更换网银支付限额更高的银行卡支付、多日分多笔支付、多张银行卡分多笔支付等方式交纳保证金。京东作为款项接收方，不对银行制订的网银最高支付限额造成的支付障碍承担任何责任。以下链接为各大银行对外公示的网银最高支付限额的整理页面，仅供参考，实际支付限额请咨询银行，以各银行告知为准。</w:t>
      </w:r>
    </w:p>
    <w:p w14:paraId="5702880E">
      <w:pPr>
        <w:widowControl/>
        <w:shd w:val="clear" w:color="auto" w:fill="FFFFFF"/>
        <w:spacing w:line="270" w:lineRule="atLeas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银行支付限额：https://help.jd.com/user/issue/359-1659.html</w:t>
      </w:r>
    </w:p>
    <w:p w14:paraId="1E2A878D">
      <w:pPr>
        <w:widowControl/>
        <w:shd w:val="clear" w:color="auto" w:fill="FFFFFF"/>
        <w:spacing w:line="270" w:lineRule="atLeas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个人/企业参拍流程：https://auction.jd.com/bankrupt.html</w:t>
      </w:r>
    </w:p>
    <w:p w14:paraId="3AC84BCF">
      <w:pPr>
        <w:widowControl/>
        <w:shd w:val="clear" w:color="auto" w:fill="FFFFFF"/>
        <w:spacing w:line="270" w:lineRule="atLeast"/>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在参拍、缴纳保证金过程中，如有疑问，请拨打京东拍卖服务热线：4006229586。</w:t>
      </w:r>
    </w:p>
    <w:p w14:paraId="771D65DE">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八、余款交纳</w:t>
      </w:r>
    </w:p>
    <w:p w14:paraId="61DCF45D">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竞价成交后，</w:t>
      </w:r>
      <w:r>
        <w:rPr>
          <w:rFonts w:hint="eastAsia" w:ascii="仿宋" w:hAnsi="仿宋" w:eastAsia="仿宋" w:cs="仿宋"/>
          <w:color w:val="auto"/>
          <w:kern w:val="0"/>
          <w:sz w:val="28"/>
          <w:szCs w:val="28"/>
          <w:highlight w:val="none"/>
          <w:lang w:val="en-US" w:eastAsia="zh-CN"/>
        </w:rPr>
        <w:t>买受人</w:t>
      </w:r>
      <w:r>
        <w:rPr>
          <w:rFonts w:hint="eastAsia" w:ascii="仿宋" w:hAnsi="仿宋" w:eastAsia="仿宋" w:cs="仿宋"/>
          <w:color w:val="auto"/>
          <w:kern w:val="0"/>
          <w:sz w:val="28"/>
          <w:szCs w:val="28"/>
          <w:highlight w:val="none"/>
        </w:rPr>
        <w:t>原锁定的保证金自动转入管理人指定账户。买受人应于成交之时起</w:t>
      </w:r>
      <w:r>
        <w:rPr>
          <w:rFonts w:hint="eastAsia" w:ascii="仿宋" w:hAnsi="仿宋" w:eastAsia="仿宋" w:cs="仿宋"/>
          <w:color w:val="auto"/>
          <w:kern w:val="0"/>
          <w:sz w:val="28"/>
          <w:szCs w:val="28"/>
          <w:highlight w:val="none"/>
          <w:lang w:val="en-US" w:eastAsia="zh-CN"/>
        </w:rPr>
        <w:t>【10】日</w:t>
      </w:r>
      <w:r>
        <w:rPr>
          <w:rFonts w:hint="eastAsia" w:ascii="仿宋" w:hAnsi="仿宋" w:eastAsia="仿宋" w:cs="仿宋"/>
          <w:color w:val="auto"/>
          <w:kern w:val="0"/>
          <w:sz w:val="28"/>
          <w:szCs w:val="28"/>
          <w:highlight w:val="none"/>
        </w:rPr>
        <w:t>内将竞价成交价余款（扣除保证金后的余款）缴入管理人指定账户</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并</w:t>
      </w:r>
      <w:r>
        <w:rPr>
          <w:rFonts w:hint="eastAsia" w:ascii="仿宋" w:hAnsi="仿宋" w:eastAsia="仿宋" w:cs="仿宋"/>
          <w:color w:val="auto"/>
          <w:kern w:val="0"/>
          <w:sz w:val="28"/>
          <w:szCs w:val="28"/>
          <w:highlight w:val="none"/>
        </w:rPr>
        <w:t>注明“破产案号：（2018）鲁17破7号；款项性质：津源破产财产拍卖价款”。逾期则视为买受人违约，竞买保证金不予退还。</w:t>
      </w:r>
      <w:r>
        <w:rPr>
          <w:rFonts w:hint="eastAsia" w:ascii="仿宋" w:hAnsi="仿宋" w:eastAsia="仿宋" w:cs="仿宋"/>
          <w:color w:val="auto"/>
          <w:kern w:val="0"/>
          <w:sz w:val="28"/>
          <w:szCs w:val="28"/>
          <w:highlight w:val="none"/>
          <w:lang w:val="en-US" w:eastAsia="zh-CN"/>
        </w:rPr>
        <w:t>有关余款缴纳相关事宜可</w:t>
      </w:r>
      <w:r>
        <w:rPr>
          <w:rFonts w:hint="eastAsia" w:ascii="仿宋" w:hAnsi="仿宋" w:eastAsia="仿宋" w:cs="仿宋"/>
          <w:color w:val="auto"/>
          <w:kern w:val="0"/>
          <w:sz w:val="28"/>
          <w:szCs w:val="28"/>
          <w:highlight w:val="none"/>
        </w:rPr>
        <w:t>及时与管理人联系。</w:t>
      </w:r>
    </w:p>
    <w:p w14:paraId="615F2E0D">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九、标的咨询与查看：</w:t>
      </w:r>
    </w:p>
    <w:p w14:paraId="2CA48C13">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次竞价是经法定公告期和展示期后才举行的，竞价标的物已知及可能存在的瑕疵已在本次竞价资料中作了详尽的说明。管理人对竞价标的物所作的说明和提供的视频资料、图片等，仅供竞买人参考，不构成对标的物的任何担保。所以请竞买人在竞价前必须仔细审查竞价标的物，调查是否存在瑕疵，认真研究查看所竞买标的物的实际情况，并请亲临现场</w:t>
      </w:r>
      <w:r>
        <w:rPr>
          <w:rFonts w:hint="eastAsia" w:ascii="仿宋" w:hAnsi="仿宋" w:eastAsia="仿宋" w:cs="仿宋"/>
          <w:color w:val="auto"/>
          <w:kern w:val="0"/>
          <w:sz w:val="28"/>
          <w:szCs w:val="28"/>
          <w:highlight w:val="none"/>
          <w:lang w:val="en-US" w:eastAsia="zh-CN"/>
        </w:rPr>
        <w:t>看样</w:t>
      </w:r>
      <w:r>
        <w:rPr>
          <w:rFonts w:hint="eastAsia" w:ascii="仿宋" w:hAnsi="仿宋" w:eastAsia="仿宋" w:cs="仿宋"/>
          <w:color w:val="auto"/>
          <w:kern w:val="0"/>
          <w:sz w:val="28"/>
          <w:szCs w:val="28"/>
          <w:highlight w:val="none"/>
        </w:rPr>
        <w:t>，有意者请亲自向管理人咨询，</w:t>
      </w:r>
      <w:r>
        <w:rPr>
          <w:rFonts w:hint="eastAsia" w:ascii="仿宋" w:hAnsi="仿宋" w:eastAsia="仿宋" w:cs="仿宋"/>
          <w:color w:val="auto"/>
          <w:kern w:val="0"/>
          <w:sz w:val="28"/>
          <w:szCs w:val="28"/>
          <w:highlight w:val="none"/>
          <w:lang w:val="en-US" w:eastAsia="zh-CN"/>
        </w:rPr>
        <w:t>未看样、</w:t>
      </w:r>
      <w:r>
        <w:rPr>
          <w:rFonts w:hint="eastAsia" w:ascii="仿宋" w:hAnsi="仿宋" w:eastAsia="仿宋" w:cs="仿宋"/>
          <w:color w:val="auto"/>
          <w:kern w:val="0"/>
          <w:sz w:val="28"/>
          <w:szCs w:val="28"/>
          <w:highlight w:val="none"/>
        </w:rPr>
        <w:t>未咨询的竞买人视为对本标的现状认可，责任自负。竞买人慎重决定竞买行为，竞买人一旦作出竞买决定，即表明已完全了解，并接受标的物现状和一切已知及未知的瑕疵</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自行承担全部风险和法律后果</w:t>
      </w:r>
      <w:r>
        <w:rPr>
          <w:rFonts w:hint="eastAsia" w:ascii="仿宋" w:hAnsi="仿宋" w:eastAsia="仿宋" w:cs="仿宋"/>
          <w:color w:val="auto"/>
          <w:kern w:val="0"/>
          <w:sz w:val="28"/>
          <w:szCs w:val="28"/>
          <w:highlight w:val="none"/>
        </w:rPr>
        <w:t>。</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十、标的移交：</w:t>
      </w:r>
    </w:p>
    <w:p w14:paraId="21318CF1">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对竞价标的能否办理过户手续、办理时间、限购等情况，请竞买人在竞买前自行向有关部门咨询确认，因标的物现状及存在瑕疵等原因不能或者延迟办理过户手续</w:t>
      </w:r>
      <w:r>
        <w:rPr>
          <w:rFonts w:hint="eastAsia" w:ascii="仿宋" w:hAnsi="仿宋" w:eastAsia="仿宋" w:cs="仿宋"/>
          <w:color w:val="auto"/>
          <w:kern w:val="0"/>
          <w:sz w:val="28"/>
          <w:szCs w:val="28"/>
          <w:highlight w:val="none"/>
          <w:lang w:val="en-US" w:eastAsia="zh-CN"/>
        </w:rPr>
        <w:t>以及</w:t>
      </w:r>
      <w:r>
        <w:rPr>
          <w:rFonts w:hint="eastAsia" w:ascii="仿宋" w:hAnsi="仿宋" w:eastAsia="仿宋" w:cs="仿宋"/>
          <w:color w:val="auto"/>
          <w:kern w:val="0"/>
          <w:sz w:val="28"/>
          <w:szCs w:val="28"/>
          <w:highlight w:val="none"/>
        </w:rPr>
        <w:t>办理二次过户造成费用增加的后果，由竞买人自负，管理人不作过户的任何承诺。</w:t>
      </w:r>
    </w:p>
    <w:p w14:paraId="3AC3649B">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竞价成交后，买受人将竞价成交价余款缴纳完毕，管理人确认该款项到账后，买受人（单位的应委托代理人携带营业执照、授权委托书及代理人身份证件原件等相关证明材料）到管理人处办理有关移交手续。买受人支付完全部竞价成交价款后，</w:t>
      </w:r>
      <w:r>
        <w:rPr>
          <w:rFonts w:hint="eastAsia" w:ascii="仿宋" w:hAnsi="仿宋" w:eastAsia="仿宋" w:cs="仿宋"/>
          <w:color w:val="auto"/>
          <w:kern w:val="0"/>
          <w:sz w:val="28"/>
          <w:szCs w:val="28"/>
          <w:highlight w:val="none"/>
          <w:lang w:val="en-US" w:eastAsia="zh-CN"/>
        </w:rPr>
        <w:t>且</w:t>
      </w:r>
      <w:r>
        <w:rPr>
          <w:rFonts w:hint="eastAsia" w:ascii="仿宋" w:hAnsi="仿宋" w:eastAsia="仿宋" w:cs="仿宋"/>
          <w:color w:val="auto"/>
          <w:kern w:val="0"/>
          <w:sz w:val="28"/>
          <w:szCs w:val="28"/>
          <w:highlight w:val="none"/>
        </w:rPr>
        <w:t>管理人与买受人办理完毕相关移交手续后方可提取其竞价成交的财产。</w:t>
      </w:r>
    </w:p>
    <w:p w14:paraId="5CF71A43">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十一、税费承担：</w:t>
      </w:r>
    </w:p>
    <w:p w14:paraId="721532F1">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本次竞价活动计价货币为人民币，</w:t>
      </w:r>
      <w:r>
        <w:rPr>
          <w:rFonts w:hint="eastAsia" w:ascii="仿宋" w:hAnsi="仿宋" w:eastAsia="仿宋" w:cs="仿宋"/>
          <w:color w:val="auto"/>
          <w:kern w:val="0"/>
          <w:sz w:val="28"/>
          <w:szCs w:val="28"/>
          <w:highlight w:val="none"/>
          <w:lang w:val="en-US" w:eastAsia="zh-CN"/>
        </w:rPr>
        <w:t>成交后办理交割过户登记时产生的税费由津源公司和买受人按国家规定各自承担应承担的税费，成交价不包含应补地价（如有）、土地使用费租金（如有）、闲置费（如有）以及买受人应承担的税、费，如有该类应付款项或债务应由买受人自行承担</w:t>
      </w:r>
      <w:r>
        <w:rPr>
          <w:rFonts w:hint="eastAsia" w:ascii="仿宋" w:hAnsi="仿宋" w:eastAsia="仿宋" w:cs="仿宋"/>
          <w:color w:val="auto"/>
          <w:kern w:val="0"/>
          <w:sz w:val="28"/>
          <w:szCs w:val="28"/>
          <w:highlight w:val="none"/>
        </w:rPr>
        <w:t>。建议竞买人竞拍前即应自行全面尽职调查、自行详细向相关主管部门咨询，全面了解需承担的款项和费用、过户流程、所需资料等，全面把握竞拍风险。买受人在承担后不得据此主张竞价无效或向管理人、上拍机构索偿。因拍卖成交之后</w:t>
      </w:r>
      <w:r>
        <w:rPr>
          <w:rFonts w:hint="eastAsia" w:ascii="仿宋" w:hAnsi="仿宋" w:eastAsia="仿宋" w:cs="仿宋"/>
          <w:color w:val="auto"/>
          <w:kern w:val="0"/>
          <w:sz w:val="28"/>
          <w:szCs w:val="28"/>
          <w:highlight w:val="none"/>
          <w:lang w:val="en-US" w:eastAsia="zh-CN"/>
        </w:rPr>
        <w:t>津源</w:t>
      </w:r>
      <w:r>
        <w:rPr>
          <w:rFonts w:hint="eastAsia" w:ascii="仿宋" w:hAnsi="仿宋" w:eastAsia="仿宋" w:cs="仿宋"/>
          <w:color w:val="auto"/>
          <w:kern w:val="0"/>
          <w:sz w:val="28"/>
          <w:szCs w:val="28"/>
          <w:highlight w:val="none"/>
        </w:rPr>
        <w:t>公司需处理拍卖资产的纳税事宜，过户登记所需时间可能较长，对此，请竞买人予以充分注意，管理人不对过户登记所需时间提供任何承诺和保证。</w:t>
      </w:r>
    </w:p>
    <w:p w14:paraId="30FEA74A">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十二、买受人及时处理竞价后事宜：</w:t>
      </w:r>
    </w:p>
    <w:p w14:paraId="4DC0DFAB">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买受人逾期未支付竞价款或未办理交接手续是悔拍行为。买受人悔拍的，管理人可以重新竞价，买受人交纳的保证金不予退还。悔拍后重新竞价的，原买受人不得参加竞价。</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买受人付款后应及时提取标的物，并办理交接手续，逾期不办理的，买受人应支付由此产生的费用，并承担本标的物可能发生的损毁、灭失等后果。</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十三、参加竞买的人应当遵守</w:t>
      </w:r>
      <w:r>
        <w:rPr>
          <w:rFonts w:hint="eastAsia" w:ascii="仿宋" w:hAnsi="仿宋" w:eastAsia="仿宋" w:cs="仿宋"/>
          <w:color w:val="auto"/>
          <w:kern w:val="0"/>
          <w:sz w:val="28"/>
          <w:szCs w:val="28"/>
          <w:highlight w:val="none"/>
          <w:lang w:val="en-US" w:eastAsia="zh-CN"/>
        </w:rPr>
        <w:t>拍卖公告、</w:t>
      </w:r>
      <w:r>
        <w:rPr>
          <w:rFonts w:hint="eastAsia" w:ascii="仿宋" w:hAnsi="仿宋" w:eastAsia="仿宋" w:cs="仿宋"/>
          <w:color w:val="auto"/>
          <w:kern w:val="0"/>
          <w:sz w:val="28"/>
          <w:szCs w:val="28"/>
          <w:highlight w:val="none"/>
        </w:rPr>
        <w:t>《竞买须知》</w:t>
      </w:r>
      <w:r>
        <w:rPr>
          <w:rFonts w:hint="eastAsia" w:ascii="仿宋" w:hAnsi="仿宋" w:eastAsia="仿宋" w:cs="仿宋"/>
          <w:color w:val="auto"/>
          <w:kern w:val="0"/>
          <w:sz w:val="28"/>
          <w:szCs w:val="28"/>
          <w:highlight w:val="none"/>
          <w:lang w:val="en-US" w:eastAsia="zh-CN"/>
        </w:rPr>
        <w:t>等</w:t>
      </w:r>
      <w:r>
        <w:rPr>
          <w:rFonts w:hint="eastAsia" w:ascii="仿宋" w:hAnsi="仿宋" w:eastAsia="仿宋" w:cs="仿宋"/>
          <w:color w:val="auto"/>
          <w:kern w:val="0"/>
          <w:sz w:val="28"/>
          <w:szCs w:val="28"/>
          <w:highlight w:val="none"/>
        </w:rPr>
        <w:t>的规定，不得阻挠其他竞买人竞价，不得操纵、垄断竞价价格，严禁竞买人恶意串标</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围标</w:t>
      </w:r>
      <w:r>
        <w:rPr>
          <w:rFonts w:hint="eastAsia" w:ascii="仿宋" w:hAnsi="仿宋" w:eastAsia="仿宋" w:cs="仿宋"/>
          <w:color w:val="auto"/>
          <w:kern w:val="0"/>
          <w:sz w:val="28"/>
          <w:szCs w:val="28"/>
          <w:highlight w:val="none"/>
        </w:rPr>
        <w:t>，上述行为一经发现，将取消其竞买资格，并追究相关的法律责任。</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十四、根据法律规定，</w:t>
      </w:r>
      <w:r>
        <w:rPr>
          <w:rFonts w:hint="eastAsia" w:ascii="仿宋" w:hAnsi="仿宋" w:eastAsia="仿宋" w:cs="仿宋"/>
          <w:b/>
          <w:color w:val="auto"/>
          <w:kern w:val="0"/>
          <w:sz w:val="28"/>
          <w:szCs w:val="28"/>
          <w:highlight w:val="none"/>
        </w:rPr>
        <w:t>破产受理法院与管理人</w:t>
      </w:r>
      <w:r>
        <w:rPr>
          <w:rFonts w:hint="eastAsia" w:ascii="仿宋" w:hAnsi="仿宋" w:eastAsia="仿宋" w:cs="仿宋"/>
          <w:color w:val="auto"/>
          <w:kern w:val="0"/>
          <w:sz w:val="28"/>
          <w:szCs w:val="28"/>
          <w:highlight w:val="none"/>
        </w:rPr>
        <w:t>有权在竞价开始前、竞价过程中，中止竞价或撤回竞价。因网络或其他不可抗力导致竞价无法正常进行的，管理人待以上因素消除后视情</w:t>
      </w:r>
      <w:r>
        <w:rPr>
          <w:rFonts w:hint="eastAsia" w:ascii="仿宋" w:hAnsi="仿宋" w:eastAsia="仿宋" w:cs="仿宋"/>
          <w:color w:val="auto"/>
          <w:kern w:val="0"/>
          <w:sz w:val="28"/>
          <w:szCs w:val="28"/>
          <w:highlight w:val="none"/>
          <w:lang w:val="en-US" w:eastAsia="zh-CN"/>
        </w:rPr>
        <w:t>况</w:t>
      </w:r>
      <w:r>
        <w:rPr>
          <w:rFonts w:hint="eastAsia" w:ascii="仿宋" w:hAnsi="仿宋" w:eastAsia="仿宋" w:cs="仿宋"/>
          <w:color w:val="auto"/>
          <w:kern w:val="0"/>
          <w:sz w:val="28"/>
          <w:szCs w:val="28"/>
          <w:highlight w:val="none"/>
        </w:rPr>
        <w:t>决定重新竞价</w:t>
      </w:r>
      <w:r>
        <w:rPr>
          <w:rFonts w:hint="eastAsia" w:ascii="仿宋" w:hAnsi="仿宋" w:eastAsia="仿宋" w:cs="仿宋"/>
          <w:color w:val="auto"/>
          <w:kern w:val="0"/>
          <w:sz w:val="28"/>
          <w:szCs w:val="28"/>
          <w:highlight w:val="none"/>
          <w:lang w:eastAsia="zh-CN"/>
        </w:rPr>
        <w:t>。</w:t>
      </w:r>
      <w:r>
        <w:rPr>
          <w:rFonts w:hint="eastAsia" w:ascii="仿宋" w:hAnsi="仿宋" w:eastAsia="仿宋" w:cs="仿宋"/>
          <w:color w:val="auto"/>
          <w:kern w:val="0"/>
          <w:sz w:val="28"/>
          <w:szCs w:val="28"/>
          <w:highlight w:val="none"/>
          <w:lang w:val="en-US" w:eastAsia="zh-CN"/>
        </w:rPr>
        <w:t>管理人</w:t>
      </w:r>
      <w:r>
        <w:rPr>
          <w:rFonts w:hint="eastAsia" w:ascii="仿宋" w:hAnsi="仿宋" w:eastAsia="仿宋" w:cs="仿宋"/>
          <w:color w:val="auto"/>
          <w:kern w:val="0"/>
          <w:sz w:val="28"/>
          <w:szCs w:val="28"/>
          <w:highlight w:val="none"/>
        </w:rPr>
        <w:t>不承担</w:t>
      </w:r>
      <w:r>
        <w:rPr>
          <w:rFonts w:hint="eastAsia" w:ascii="仿宋" w:hAnsi="仿宋" w:eastAsia="仿宋" w:cs="仿宋"/>
          <w:color w:val="auto"/>
          <w:kern w:val="0"/>
          <w:sz w:val="28"/>
          <w:szCs w:val="28"/>
          <w:highlight w:val="none"/>
          <w:lang w:val="en-US" w:eastAsia="zh-CN"/>
        </w:rPr>
        <w:t>前述情形</w:t>
      </w:r>
      <w:r>
        <w:rPr>
          <w:rFonts w:hint="eastAsia" w:ascii="仿宋" w:hAnsi="仿宋" w:eastAsia="仿宋" w:cs="仿宋"/>
          <w:color w:val="auto"/>
          <w:kern w:val="0"/>
          <w:sz w:val="28"/>
          <w:szCs w:val="28"/>
          <w:highlight w:val="none"/>
        </w:rPr>
        <w:t>造成的损失。</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十五、为便于买受人及时收到相关的法律文书及通知，竞买人在竞价前如实向京东网络竞价平台提供确切的送达地址或者主动与管理人联系。如需更改地址，买受人应及时与管理人联系确认更改。因提供的送达地址不确切，或未及时告知变更地址，导致有关法律文书及通知无法送达的，由竞买人自行承担由此可能产生的法律后果。</w:t>
      </w:r>
      <w:r>
        <w:rPr>
          <w:rFonts w:hint="eastAsia" w:ascii="仿宋" w:hAnsi="仿宋" w:eastAsia="仿宋" w:cs="仿宋"/>
          <w:color w:val="auto"/>
          <w:kern w:val="0"/>
          <w:sz w:val="28"/>
          <w:szCs w:val="28"/>
          <w:highlight w:val="none"/>
        </w:rPr>
        <w:br w:type="textWrapping"/>
      </w:r>
      <w:r>
        <w:rPr>
          <w:rFonts w:hint="eastAsia" w:ascii="仿宋" w:hAnsi="仿宋" w:eastAsia="仿宋" w:cs="仿宋"/>
          <w:color w:val="auto"/>
          <w:kern w:val="0"/>
          <w:sz w:val="28"/>
          <w:szCs w:val="28"/>
          <w:highlight w:val="none"/>
        </w:rPr>
        <w:t xml:space="preserve">    十六、竞买人在竞价前请务必仔细阅读公告、须知、标的详情。本规则其他未尽事宜，请予咨询。</w:t>
      </w:r>
    </w:p>
    <w:p w14:paraId="7A76174D">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凡发现竞价中有违规行为，可如实举报。</w:t>
      </w:r>
    </w:p>
    <w:p w14:paraId="01DDC3DC">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京东技术咨询电话：4006229586</w:t>
      </w:r>
    </w:p>
    <w:p w14:paraId="011CF6B3">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p>
    <w:p w14:paraId="63FF0D8A">
      <w:pPr>
        <w:widowControl/>
        <w:shd w:val="clear" w:color="auto" w:fill="FFFFFF"/>
        <w:spacing w:line="270" w:lineRule="atLeast"/>
        <w:ind w:firstLine="560" w:firstLineChars="200"/>
        <w:jc w:val="left"/>
        <w:rPr>
          <w:rFonts w:hint="eastAsia" w:ascii="仿宋" w:hAnsi="仿宋" w:eastAsia="仿宋" w:cs="仿宋"/>
          <w:color w:val="auto"/>
          <w:kern w:val="0"/>
          <w:sz w:val="28"/>
          <w:szCs w:val="28"/>
          <w:highlight w:val="none"/>
        </w:rPr>
      </w:pPr>
    </w:p>
    <w:p w14:paraId="2EA8CFBA">
      <w:pPr>
        <w:widowControl/>
        <w:shd w:val="clear" w:color="auto" w:fill="FFFFFF"/>
        <w:spacing w:line="270" w:lineRule="atLeast"/>
        <w:ind w:firstLine="560" w:firstLineChars="200"/>
        <w:jc w:val="right"/>
        <w:rPr>
          <w:rFonts w:hint="eastAsia" w:ascii="仿宋" w:hAnsi="仿宋" w:eastAsia="仿宋" w:cs="仿宋"/>
          <w:color w:val="auto"/>
          <w:kern w:val="0"/>
          <w:sz w:val="28"/>
          <w:szCs w:val="28"/>
          <w:highlight w:val="none"/>
        </w:rPr>
      </w:pPr>
      <w:r>
        <w:rPr>
          <w:rFonts w:hint="eastAsia" w:ascii="仿宋" w:hAnsi="仿宋" w:eastAsia="仿宋" w:cs="仿宋"/>
          <w:color w:val="auto"/>
          <w:kern w:val="0"/>
          <w:sz w:val="28"/>
          <w:szCs w:val="28"/>
          <w:highlight w:val="none"/>
        </w:rPr>
        <w:t xml:space="preserve">菏泽津源节能保温材料有限公司管理人 </w:t>
      </w:r>
    </w:p>
    <w:p w14:paraId="62D7AE48">
      <w:pPr>
        <w:ind w:firstLine="5040" w:firstLineChars="1800"/>
        <w:jc w:val="left"/>
        <w:rPr>
          <w:rFonts w:hint="eastAsia" w:ascii="仿宋" w:hAnsi="仿宋" w:eastAsia="仿宋" w:cs="仿宋"/>
          <w:color w:val="auto"/>
          <w:sz w:val="28"/>
          <w:szCs w:val="28"/>
          <w:highlight w:val="none"/>
        </w:rPr>
      </w:pPr>
      <w:r>
        <w:rPr>
          <w:rFonts w:hint="eastAsia" w:ascii="仿宋" w:hAnsi="仿宋" w:eastAsia="仿宋" w:cs="仿宋"/>
          <w:color w:val="auto"/>
          <w:kern w:val="0"/>
          <w:sz w:val="28"/>
          <w:szCs w:val="28"/>
          <w:highlight w:val="none"/>
        </w:rPr>
        <w:t xml:space="preserve"> 二〇二</w:t>
      </w:r>
      <w:r>
        <w:rPr>
          <w:rFonts w:hint="eastAsia" w:ascii="仿宋" w:hAnsi="仿宋" w:eastAsia="仿宋" w:cs="仿宋"/>
          <w:color w:val="auto"/>
          <w:kern w:val="0"/>
          <w:sz w:val="28"/>
          <w:szCs w:val="28"/>
          <w:highlight w:val="none"/>
          <w:lang w:val="en-US" w:eastAsia="zh-CN"/>
        </w:rPr>
        <w:t>六</w:t>
      </w:r>
      <w:r>
        <w:rPr>
          <w:rFonts w:hint="eastAsia" w:ascii="仿宋" w:hAnsi="仿宋" w:eastAsia="仿宋" w:cs="仿宋"/>
          <w:color w:val="auto"/>
          <w:kern w:val="0"/>
          <w:sz w:val="28"/>
          <w:szCs w:val="28"/>
          <w:highlight w:val="none"/>
        </w:rPr>
        <w:t>年</w:t>
      </w:r>
      <w:r>
        <w:rPr>
          <w:rFonts w:hint="eastAsia" w:ascii="仿宋" w:hAnsi="仿宋" w:eastAsia="仿宋" w:cs="仿宋"/>
          <w:color w:val="auto"/>
          <w:kern w:val="0"/>
          <w:sz w:val="28"/>
          <w:szCs w:val="28"/>
          <w:highlight w:val="none"/>
          <w:lang w:val="en-US" w:eastAsia="zh-CN"/>
        </w:rPr>
        <w:t>九</w:t>
      </w:r>
      <w:r>
        <w:rPr>
          <w:rFonts w:hint="eastAsia" w:ascii="仿宋" w:hAnsi="仿宋" w:eastAsia="仿宋" w:cs="仿宋"/>
          <w:color w:val="auto"/>
          <w:kern w:val="0"/>
          <w:sz w:val="28"/>
          <w:szCs w:val="28"/>
          <w:highlight w:val="none"/>
        </w:rPr>
        <w:t>月</w:t>
      </w:r>
      <w:r>
        <w:rPr>
          <w:rFonts w:hint="eastAsia" w:ascii="仿宋" w:hAnsi="仿宋" w:eastAsia="仿宋" w:cs="仿宋"/>
          <w:color w:val="auto"/>
          <w:kern w:val="0"/>
          <w:sz w:val="28"/>
          <w:szCs w:val="28"/>
          <w:highlight w:val="none"/>
          <w:lang w:val="en-US" w:eastAsia="zh-CN"/>
        </w:rPr>
        <w:t>四</w:t>
      </w:r>
      <w:r>
        <w:rPr>
          <w:rFonts w:hint="eastAsia" w:ascii="仿宋" w:hAnsi="仿宋" w:eastAsia="仿宋" w:cs="仿宋"/>
          <w:color w:val="auto"/>
          <w:kern w:val="0"/>
          <w:sz w:val="28"/>
          <w:szCs w:val="28"/>
          <w:highlight w:val="none"/>
        </w:rPr>
        <w:t>日</w:t>
      </w: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00"/>
    <w:family w:val="roman"/>
    <w:pitch w:val="variable"/>
    <w:sig w:usb0="20007A87" w:usb1="80000000" w:usb2="00000008" w:usb3="00000000" w:csb0="000001FF" w:csb1="00000000"/>
  </w:font>
  <w:font w:name="宋体">
    <w:panose1 w:val="02010600030101010101"/>
    <w:charset w:val="86"/>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
    <w:panose1 w:val="02010609060101010101"/>
    <w:charset w:val="86"/>
    <w:family w:val="auto"/>
    <w:pitch w:val="default"/>
    <w:sig w:usb0="800002BF" w:usb1="38CF7CFA" w:usb2="00000016" w:usb3="00000000" w:csb0="00040001" w:csb1="00000000"/>
  </w:font>
  <w:font w:name="微软雅黑">
    <w:panose1 w:val="020B0503020204020204"/>
    <w:charset w:val="86"/>
    <w:family w:val="auto"/>
    <w:pitch w:val="default"/>
    <w:sig w:usb0="80000287" w:usb1="2ACF3C50" w:usb2="00000016" w:usb3="00000000" w:csb0="0004001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80"/>
  <w:doNotDisplayPageBoundaries w:val="1"/>
  <w:bordersDoNotSurroundHeader w:val="1"/>
  <w:bordersDoNotSurroundFooter w:val="1"/>
  <w:trackRevisions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docVars>
    <w:docVar w:name="commondata" w:val="eyJoZGlkIjoiY2I5N2FkOTk1MGNiYjM5OWUyMmY3MmI1Njc5ZDVmMzMifQ=="/>
  </w:docVars>
  <w:rsids>
    <w:rsidRoot w:val="006D5E3F"/>
    <w:rsid w:val="00003979"/>
    <w:rsid w:val="00052B63"/>
    <w:rsid w:val="00081441"/>
    <w:rsid w:val="00082E65"/>
    <w:rsid w:val="000D345A"/>
    <w:rsid w:val="000E564B"/>
    <w:rsid w:val="000E6BAB"/>
    <w:rsid w:val="000E782F"/>
    <w:rsid w:val="00171861"/>
    <w:rsid w:val="0018709C"/>
    <w:rsid w:val="001A1521"/>
    <w:rsid w:val="001E1851"/>
    <w:rsid w:val="00291D81"/>
    <w:rsid w:val="00297A89"/>
    <w:rsid w:val="002A600A"/>
    <w:rsid w:val="002A7219"/>
    <w:rsid w:val="002B282B"/>
    <w:rsid w:val="002C721B"/>
    <w:rsid w:val="002D1BEB"/>
    <w:rsid w:val="002D5768"/>
    <w:rsid w:val="002E05AC"/>
    <w:rsid w:val="002E76C1"/>
    <w:rsid w:val="0030462B"/>
    <w:rsid w:val="00345D5B"/>
    <w:rsid w:val="003D54CE"/>
    <w:rsid w:val="00456484"/>
    <w:rsid w:val="004C0ECA"/>
    <w:rsid w:val="004C382F"/>
    <w:rsid w:val="005828A4"/>
    <w:rsid w:val="005955CD"/>
    <w:rsid w:val="005961F9"/>
    <w:rsid w:val="00597AA2"/>
    <w:rsid w:val="005A3E5B"/>
    <w:rsid w:val="005B17B1"/>
    <w:rsid w:val="005B37D8"/>
    <w:rsid w:val="005B3F03"/>
    <w:rsid w:val="005E7B3A"/>
    <w:rsid w:val="005F3ECB"/>
    <w:rsid w:val="005F4E66"/>
    <w:rsid w:val="00612339"/>
    <w:rsid w:val="006131A1"/>
    <w:rsid w:val="00661CE6"/>
    <w:rsid w:val="006B397B"/>
    <w:rsid w:val="006D5E3F"/>
    <w:rsid w:val="006F297A"/>
    <w:rsid w:val="006F4D4A"/>
    <w:rsid w:val="007E349F"/>
    <w:rsid w:val="00845DAB"/>
    <w:rsid w:val="00855FA3"/>
    <w:rsid w:val="00894564"/>
    <w:rsid w:val="00894E8B"/>
    <w:rsid w:val="009166C1"/>
    <w:rsid w:val="0092365D"/>
    <w:rsid w:val="00930FEE"/>
    <w:rsid w:val="0094009C"/>
    <w:rsid w:val="009B2A35"/>
    <w:rsid w:val="009B3DB5"/>
    <w:rsid w:val="00A00525"/>
    <w:rsid w:val="00A317DC"/>
    <w:rsid w:val="00A55CD5"/>
    <w:rsid w:val="00A81E5E"/>
    <w:rsid w:val="00A928F2"/>
    <w:rsid w:val="00A95C70"/>
    <w:rsid w:val="00AB4B8E"/>
    <w:rsid w:val="00AB56FB"/>
    <w:rsid w:val="00B829F9"/>
    <w:rsid w:val="00B877A1"/>
    <w:rsid w:val="00BC7675"/>
    <w:rsid w:val="00BE6B5B"/>
    <w:rsid w:val="00C372F8"/>
    <w:rsid w:val="00C87801"/>
    <w:rsid w:val="00CB41C1"/>
    <w:rsid w:val="00CD0008"/>
    <w:rsid w:val="00CF3C0E"/>
    <w:rsid w:val="00D04980"/>
    <w:rsid w:val="00D14ECF"/>
    <w:rsid w:val="00D33778"/>
    <w:rsid w:val="00D8364B"/>
    <w:rsid w:val="00D8394F"/>
    <w:rsid w:val="00DD19F5"/>
    <w:rsid w:val="00E02BCB"/>
    <w:rsid w:val="00E1099C"/>
    <w:rsid w:val="00E31B02"/>
    <w:rsid w:val="00F06D4B"/>
    <w:rsid w:val="00F138AA"/>
    <w:rsid w:val="00F86503"/>
    <w:rsid w:val="00FC071C"/>
    <w:rsid w:val="00FE7769"/>
    <w:rsid w:val="00FF467E"/>
    <w:rsid w:val="03166D2D"/>
    <w:rsid w:val="05041AD8"/>
    <w:rsid w:val="073216DD"/>
    <w:rsid w:val="085D3F29"/>
    <w:rsid w:val="08660CC0"/>
    <w:rsid w:val="099C4769"/>
    <w:rsid w:val="0CE25B7D"/>
    <w:rsid w:val="0F8C0E6C"/>
    <w:rsid w:val="112B2412"/>
    <w:rsid w:val="11671D8C"/>
    <w:rsid w:val="123E63CD"/>
    <w:rsid w:val="13876D3D"/>
    <w:rsid w:val="13D4559F"/>
    <w:rsid w:val="1534372C"/>
    <w:rsid w:val="168C0F4C"/>
    <w:rsid w:val="16EA7A85"/>
    <w:rsid w:val="170A6573"/>
    <w:rsid w:val="17C84600"/>
    <w:rsid w:val="18611FDC"/>
    <w:rsid w:val="1ABA6BE8"/>
    <w:rsid w:val="1B5B7942"/>
    <w:rsid w:val="1D4B29CD"/>
    <w:rsid w:val="1D770734"/>
    <w:rsid w:val="1D8647D2"/>
    <w:rsid w:val="1EA57152"/>
    <w:rsid w:val="204F45E9"/>
    <w:rsid w:val="216D3B16"/>
    <w:rsid w:val="22F27762"/>
    <w:rsid w:val="245F0E98"/>
    <w:rsid w:val="254C4AC2"/>
    <w:rsid w:val="282B44F6"/>
    <w:rsid w:val="294D58D2"/>
    <w:rsid w:val="330F5F53"/>
    <w:rsid w:val="349E0BBF"/>
    <w:rsid w:val="385E3DF5"/>
    <w:rsid w:val="39980AA3"/>
    <w:rsid w:val="3A0A2948"/>
    <w:rsid w:val="3BDA6A8C"/>
    <w:rsid w:val="3C112BC2"/>
    <w:rsid w:val="4007308A"/>
    <w:rsid w:val="41C6000C"/>
    <w:rsid w:val="42635F66"/>
    <w:rsid w:val="448D7804"/>
    <w:rsid w:val="45627B42"/>
    <w:rsid w:val="45853B7C"/>
    <w:rsid w:val="4EDA3035"/>
    <w:rsid w:val="4EE37B40"/>
    <w:rsid w:val="4F9A2D65"/>
    <w:rsid w:val="51CA6972"/>
    <w:rsid w:val="52E274C9"/>
    <w:rsid w:val="53F02FBD"/>
    <w:rsid w:val="54131E75"/>
    <w:rsid w:val="56CC11BF"/>
    <w:rsid w:val="570738D6"/>
    <w:rsid w:val="571F7FB8"/>
    <w:rsid w:val="575F3DB9"/>
    <w:rsid w:val="5AB63FBF"/>
    <w:rsid w:val="5F387EDD"/>
    <w:rsid w:val="606B2CA3"/>
    <w:rsid w:val="608B4A10"/>
    <w:rsid w:val="63395221"/>
    <w:rsid w:val="63CD32CA"/>
    <w:rsid w:val="64BB747E"/>
    <w:rsid w:val="65E62563"/>
    <w:rsid w:val="679C17AA"/>
    <w:rsid w:val="6B4252B1"/>
    <w:rsid w:val="6BA94DAF"/>
    <w:rsid w:val="6C062EF1"/>
    <w:rsid w:val="6C1E5102"/>
    <w:rsid w:val="6C6F275A"/>
    <w:rsid w:val="6D8A1815"/>
    <w:rsid w:val="7014496E"/>
    <w:rsid w:val="70D9160C"/>
    <w:rsid w:val="718722D2"/>
    <w:rsid w:val="72053532"/>
    <w:rsid w:val="72B32D2E"/>
    <w:rsid w:val="732079E8"/>
    <w:rsid w:val="772F7731"/>
    <w:rsid w:val="786A644A"/>
    <w:rsid w:val="7A1C67C0"/>
    <w:rsid w:val="7B61492F"/>
    <w:rsid w:val="7C346FA3"/>
    <w:rsid w:val="7CB803FE"/>
    <w:rsid w:val="7E762621"/>
    <w:rsid w:val="7ED8347A"/>
    <w:rsid w:val="7EE10FBB"/>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mc:AlternateContent>
    <mc:Choice Requires="wpsCustomData">
      <wpsCustomData:typoFeatureVersion val="0"/>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9" w:semiHidden="0" w:name="heading 1"/>
    <w:lsdException w:qFormat="1" w:uiPriority="9" w:name="heading 2"/>
    <w:lsdException w:qFormat="1" w:uiPriority="9" w:name="heading 3"/>
    <w:lsdException w:qFormat="1" w:uiPriority="9" w:name="heading 4"/>
    <w:lsdException w:qFormat="1" w:uiPriority="9" w:name="heading 5"/>
    <w:lsdException w:qFormat="1" w:uiPriority="9" w:name="heading 6"/>
    <w:lsdException w:qFormat="1" w:uiPriority="9" w:name="heading 7"/>
    <w:lsdException w:qFormat="1" w:uiPriority="9" w:name="heading 8"/>
    <w:lsdException w:qFormat="1" w:uiPriority="9" w:name="heading 9"/>
    <w:lsdException w:uiPriority="99" w:name="index 1"/>
    <w:lsdException w:uiPriority="99" w:name="index 2"/>
    <w:lsdException w:uiPriority="99" w:name="index 3"/>
    <w:lsdException w:uiPriority="99" w:name="index 4"/>
    <w:lsdException w:uiPriority="99" w:name="index 5"/>
    <w:lsdException w:uiPriority="99" w:name="index 6"/>
    <w:lsdException w:uiPriority="99" w:name="index 7"/>
    <w:lsdException w:uiPriority="99" w:name="index 8"/>
    <w:lsdException w:uiPriority="99" w:name="index 9"/>
    <w:lsdException w:uiPriority="39" w:name="toc 1"/>
    <w:lsdException w:uiPriority="39" w:name="toc 2"/>
    <w:lsdException w:uiPriority="39" w:name="toc 3"/>
    <w:lsdException w:uiPriority="39" w:name="toc 4"/>
    <w:lsdException w:uiPriority="39" w:name="toc 5"/>
    <w:lsdException w:uiPriority="39" w:name="toc 6"/>
    <w:lsdException w:uiPriority="39" w:name="toc 7"/>
    <w:lsdException w:uiPriority="39" w:name="toc 8"/>
    <w:lsdException w:uiPriority="39" w:name="toc 9"/>
    <w:lsdException w:uiPriority="99" w:name="Normal Indent"/>
    <w:lsdException w:uiPriority="99" w:name="footnote text"/>
    <w:lsdException w:uiPriority="99" w:name="annotation text"/>
    <w:lsdException w:qFormat="1" w:uiPriority="99" w:semiHidden="0" w:name="header"/>
    <w:lsdException w:qFormat="1" w:uiPriority="99" w:semiHidden="0" w:name="footer"/>
    <w:lsdException w:uiPriority="99" w:name="index heading"/>
    <w:lsdException w:qFormat="1" w:uiPriority="35" w:name="caption"/>
    <w:lsdException w:uiPriority="99" w:name="table of figures"/>
    <w:lsdException w:uiPriority="99" w:name="envelope address"/>
    <w:lsdException w:uiPriority="99" w:name="envelope return"/>
    <w:lsdException w:uiPriority="99" w:name="footnote reference"/>
    <w:lsdException w:uiPriority="99" w:name="annotation reference"/>
    <w:lsdException w:uiPriority="99" w:name="line number"/>
    <w:lsdException w:uiPriority="99" w:name="page number"/>
    <w:lsdException w:uiPriority="99" w:name="endnote reference"/>
    <w:lsdException w:uiPriority="99" w:name="endnote text"/>
    <w:lsdException w:uiPriority="99" w:name="table of authorities"/>
    <w:lsdException w:uiPriority="99" w:name="macro"/>
    <w:lsdException w:uiPriority="99" w:name="toa heading"/>
    <w:lsdException w:uiPriority="99" w:name="List"/>
    <w:lsdException w:uiPriority="99" w:name="List Bullet"/>
    <w:lsdException w:uiPriority="99" w:name="List Number"/>
    <w:lsdException w:uiPriority="99" w:name="List 2"/>
    <w:lsdException w:uiPriority="99" w:name="List 3"/>
    <w:lsdException w:uiPriority="99" w:name="List 4"/>
    <w:lsdException w:uiPriority="99"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10" w:semiHidden="0" w:name="Title"/>
    <w:lsdException w:uiPriority="99" w:name="Closing"/>
    <w:lsdException w:uiPriority="99" w:name="Signature"/>
    <w:lsdException w:qFormat="1" w:uiPriority="1" w:name="Default Paragraph Font"/>
    <w:lsdException w:uiPriority="99" w:name="Body Text"/>
    <w:lsdException w:uiPriority="99"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11" w:semiHidden="0" w:name="Subtitle"/>
    <w:lsdException w:uiPriority="99" w:name="Salutation"/>
    <w:lsdException w:uiPriority="99" w:name="Date"/>
    <w:lsdException w:uiPriority="99" w:name="Body Text First Indent"/>
    <w:lsdException w:uiPriority="99" w:name="Body Text First Indent 2"/>
    <w:lsdException w:uiPriority="99" w:name="Note Heading"/>
    <w:lsdException w:uiPriority="99" w:name="Body Text 2"/>
    <w:lsdException w:uiPriority="99" w:name="Body Text 3"/>
    <w:lsdException w:uiPriority="99" w:name="Body Text Indent 2"/>
    <w:lsdException w:uiPriority="99" w:name="Body Text Indent 3"/>
    <w:lsdException w:uiPriority="99" w:name="Block Text"/>
    <w:lsdException w:qFormat="1" w:uiPriority="99" w:semiHidden="0" w:name="Hyperlink"/>
    <w:lsdException w:uiPriority="99" w:name="FollowedHyperlink"/>
    <w:lsdException w:qFormat="1" w:unhideWhenUsed="0" w:uiPriority="22" w:semiHidden="0" w:name="Strong"/>
    <w:lsdException w:qFormat="1" w:unhideWhenUsed="0" w:uiPriority="20" w:semiHidden="0" w:name="Emphasis"/>
    <w:lsdException w:uiPriority="99" w:name="Document Map"/>
    <w:lsdException w:uiPriority="99" w:name="Plain Text"/>
    <w:lsdException w:uiPriority="99" w:name="E-mail Signature"/>
    <w:lsdException w:uiPriority="99" w:name="Normal (Web)"/>
    <w:lsdException w:uiPriority="99" w:name="HTML Acronym"/>
    <w:lsdException w:uiPriority="99" w:name="HTML Address"/>
    <w:lsdException w:uiPriority="99" w:name="HTML Cite"/>
    <w:lsdException w:uiPriority="99" w:name="HTML Code"/>
    <w:lsdException w:uiPriority="99" w:name="HTML Definition"/>
    <w:lsdException w:uiPriority="99" w:name="HTML Keyboard"/>
    <w:lsdException w:uiPriority="99" w:name="HTML Preformatted"/>
    <w:lsdException w:uiPriority="99" w:name="HTML Sample"/>
    <w:lsdException w:uiPriority="99" w:name="HTML Typewriter"/>
    <w:lsdException w:uiPriority="99" w:name="HTML Variable"/>
    <w:lsdException w:qFormat="1" w:uiPriority="99" w:name="Normal Table"/>
    <w:lsdException w:uiPriority="99"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uiPriority="99" w:name="Balloon Text"/>
    <w:lsdException w:unhideWhenUsed="0" w:uiPriority="39" w:semiHidden="0" w:name="Table Grid"/>
    <w:lsdException w:uiPriority="99"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autoRedefine/>
    <w:qFormat/>
    <w:uiPriority w:val="0"/>
    <w:pPr>
      <w:widowControl w:val="0"/>
      <w:jc w:val="both"/>
    </w:pPr>
    <w:rPr>
      <w:rFonts w:asciiTheme="minorHAnsi" w:hAnsiTheme="minorHAnsi" w:eastAsiaTheme="minorEastAsia" w:cstheme="minorBidi"/>
      <w:kern w:val="2"/>
      <w:sz w:val="21"/>
      <w:szCs w:val="22"/>
      <w:lang w:val="en-US" w:eastAsia="zh-CN" w:bidi="ar-SA"/>
    </w:rPr>
  </w:style>
  <w:style w:type="character" w:default="1" w:styleId="5">
    <w:name w:val="Default Paragraph Font"/>
    <w:semiHidden/>
    <w:unhideWhenUsed/>
    <w:qFormat/>
    <w:uiPriority w:val="1"/>
  </w:style>
  <w:style w:type="table" w:default="1" w:styleId="4">
    <w:name w:val="Normal Table"/>
    <w:semiHidden/>
    <w:unhideWhenUsed/>
    <w:qFormat/>
    <w:uiPriority w:val="99"/>
    <w:tblPr>
      <w:tblCellMar>
        <w:top w:w="0" w:type="dxa"/>
        <w:left w:w="108" w:type="dxa"/>
        <w:bottom w:w="0" w:type="dxa"/>
        <w:right w:w="108" w:type="dxa"/>
      </w:tblCellMar>
    </w:tblPr>
  </w:style>
  <w:style w:type="paragraph" w:styleId="2">
    <w:name w:val="footer"/>
    <w:basedOn w:val="1"/>
    <w:link w:val="8"/>
    <w:unhideWhenUsed/>
    <w:qFormat/>
    <w:uiPriority w:val="99"/>
    <w:pPr>
      <w:tabs>
        <w:tab w:val="center" w:pos="4153"/>
        <w:tab w:val="right" w:pos="8306"/>
      </w:tabs>
      <w:snapToGrid w:val="0"/>
      <w:jc w:val="left"/>
    </w:pPr>
    <w:rPr>
      <w:sz w:val="18"/>
      <w:szCs w:val="18"/>
    </w:rPr>
  </w:style>
  <w:style w:type="paragraph" w:styleId="3">
    <w:name w:val="header"/>
    <w:basedOn w:val="1"/>
    <w:link w:val="7"/>
    <w:unhideWhenUsed/>
    <w:qFormat/>
    <w:uiPriority w:val="99"/>
    <w:pPr>
      <w:pBdr>
        <w:bottom w:val="single" w:color="auto" w:sz="6" w:space="1"/>
      </w:pBdr>
      <w:tabs>
        <w:tab w:val="center" w:pos="4153"/>
        <w:tab w:val="right" w:pos="8306"/>
      </w:tabs>
      <w:snapToGrid w:val="0"/>
      <w:jc w:val="center"/>
    </w:pPr>
    <w:rPr>
      <w:sz w:val="18"/>
      <w:szCs w:val="18"/>
    </w:rPr>
  </w:style>
  <w:style w:type="character" w:styleId="6">
    <w:name w:val="Hyperlink"/>
    <w:basedOn w:val="5"/>
    <w:autoRedefine/>
    <w:unhideWhenUsed/>
    <w:qFormat/>
    <w:uiPriority w:val="99"/>
    <w:rPr>
      <w:color w:val="0563C1" w:themeColor="hyperlink"/>
      <w:u w:val="single"/>
      <w14:textFill>
        <w14:solidFill>
          <w14:schemeClr w14:val="hlink"/>
        </w14:solidFill>
      </w14:textFill>
    </w:rPr>
  </w:style>
  <w:style w:type="character" w:customStyle="1" w:styleId="7">
    <w:name w:val="页眉 字符"/>
    <w:basedOn w:val="5"/>
    <w:link w:val="3"/>
    <w:qFormat/>
    <w:uiPriority w:val="99"/>
    <w:rPr>
      <w:sz w:val="18"/>
      <w:szCs w:val="18"/>
    </w:rPr>
  </w:style>
  <w:style w:type="character" w:customStyle="1" w:styleId="8">
    <w:name w:val="页脚 字符"/>
    <w:basedOn w:val="5"/>
    <w:link w:val="2"/>
    <w:autoRedefine/>
    <w:qFormat/>
    <w:uiPriority w:val="99"/>
    <w:rPr>
      <w:sz w:val="18"/>
      <w:szCs w:val="18"/>
    </w:r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Template>
  <Pages>10</Pages>
  <Words>5267</Words>
  <Characters>5456</Characters>
  <Lines>24</Lines>
  <Paragraphs>6</Paragraphs>
  <TotalTime>167</TotalTime>
  <ScaleCrop>false</ScaleCrop>
  <LinksUpToDate>false</LinksUpToDate>
  <CharactersWithSpaces>5501</CharactersWithSpaces>
  <Application>WPS Office_12.1.0.28043_F1E327BC-269C-435d-A152-05C5408002CA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2020-10-21T02:39:00Z</dcterms:created>
  <dc:creator>gaochang1</dc:creator>
  <cp:lastModifiedBy>大w</cp:lastModifiedBy>
  <dcterms:modified xsi:type="dcterms:W3CDTF">2026-09-05T03:51:57Z</dcterms:modified>
  <cp:revision>2</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2052-12.1.0.28043</vt:lpwstr>
  </property>
  <property fmtid="{D5CDD505-2E9C-101B-9397-08002B2CF9AE}" pid="3" name="ICV">
    <vt:lpwstr>F4B08BB67673454D872B1191AC33C41E_13</vt:lpwstr>
  </property>
  <property fmtid="{D5CDD505-2E9C-101B-9397-08002B2CF9AE}" pid="4" name="KSOTemplateDocerSaveRecord">
    <vt:lpwstr>eyJoZGlkIjoiNWFiMTU4NjAzYjkxOTkwZjliNDg1MjljNDcwN2NlZmUiLCJ1c2VySWQiOiIxOTQwODIxNjYifQ==</vt:lpwstr>
  </property>
</Properties>
</file>