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844CAE">
      <w:pPr>
        <w:jc w:val="center"/>
        <w:rPr>
          <w:rFonts w:hint="eastAsia" w:ascii="宋体" w:hAnsi="宋体" w:eastAsia="宋体" w:cs="宋体"/>
          <w:b/>
          <w:bCs/>
          <w:color w:val="auto"/>
          <w:sz w:val="36"/>
          <w:szCs w:val="36"/>
          <w:highlight w:val="none"/>
          <w:u w:val="none"/>
        </w:rPr>
      </w:pPr>
      <w:bookmarkStart w:id="0" w:name="_GoBack"/>
      <w:bookmarkEnd w:id="0"/>
      <w:r>
        <w:rPr>
          <w:rFonts w:hint="eastAsia" w:ascii="宋体" w:hAnsi="宋体" w:eastAsia="宋体" w:cs="宋体"/>
          <w:b/>
          <w:bCs/>
          <w:color w:val="auto"/>
          <w:sz w:val="36"/>
          <w:szCs w:val="36"/>
          <w:highlight w:val="none"/>
          <w:u w:val="none"/>
        </w:rPr>
        <w:t>菏泽津源节能保温材料有限公司</w:t>
      </w:r>
    </w:p>
    <w:p w14:paraId="1F7A24CF">
      <w:pPr>
        <w:jc w:val="center"/>
        <w:rPr>
          <w:rFonts w:hint="eastAsia" w:ascii="宋体" w:hAnsi="宋体" w:eastAsia="宋体" w:cs="宋体"/>
          <w:b/>
          <w:bCs/>
          <w:color w:val="auto"/>
          <w:sz w:val="36"/>
          <w:szCs w:val="36"/>
          <w:highlight w:val="none"/>
          <w:u w:val="none"/>
          <w:lang w:val="en-US" w:eastAsia="zh-CN"/>
        </w:rPr>
      </w:pPr>
      <w:r>
        <w:rPr>
          <w:rFonts w:hint="eastAsia" w:ascii="宋体" w:hAnsi="宋体" w:eastAsia="宋体" w:cs="宋体"/>
          <w:b/>
          <w:bCs/>
          <w:color w:val="auto"/>
          <w:sz w:val="36"/>
          <w:szCs w:val="36"/>
          <w:highlight w:val="none"/>
          <w:u w:val="none"/>
        </w:rPr>
        <w:t>破产财产</w:t>
      </w:r>
      <w:r>
        <w:rPr>
          <w:rFonts w:hint="eastAsia" w:ascii="宋体" w:hAnsi="宋体" w:eastAsia="宋体" w:cs="宋体"/>
          <w:b/>
          <w:bCs/>
          <w:color w:val="auto"/>
          <w:sz w:val="36"/>
          <w:szCs w:val="36"/>
          <w:highlight w:val="none"/>
          <w:u w:val="none"/>
          <w:lang w:eastAsia="zh-CN"/>
        </w:rPr>
        <w:t>（</w:t>
      </w:r>
      <w:r>
        <w:rPr>
          <w:rFonts w:hint="eastAsia" w:ascii="宋体" w:hAnsi="宋体" w:eastAsia="宋体" w:cs="宋体"/>
          <w:b/>
          <w:bCs/>
          <w:color w:val="auto"/>
          <w:sz w:val="36"/>
          <w:szCs w:val="36"/>
          <w:highlight w:val="none"/>
          <w:u w:val="none"/>
          <w:lang w:val="en-US" w:eastAsia="zh-CN"/>
        </w:rPr>
        <w:t>土地、房产、报废的机器设备等）</w:t>
      </w:r>
    </w:p>
    <w:p w14:paraId="6BDE9C49">
      <w:pPr>
        <w:jc w:val="center"/>
        <w:rPr>
          <w:rFonts w:hint="eastAsia" w:ascii="宋体" w:hAnsi="宋体" w:eastAsia="宋体" w:cs="宋体"/>
          <w:b/>
          <w:bCs/>
          <w:color w:val="auto"/>
          <w:sz w:val="36"/>
          <w:szCs w:val="36"/>
          <w:highlight w:val="none"/>
          <w:u w:val="none"/>
          <w:lang w:val="en-US" w:eastAsia="zh-CN"/>
        </w:rPr>
      </w:pPr>
      <w:r>
        <w:rPr>
          <w:rFonts w:hint="eastAsia" w:ascii="宋体" w:hAnsi="宋体" w:eastAsia="宋体" w:cs="宋体"/>
          <w:b/>
          <w:bCs/>
          <w:color w:val="auto"/>
          <w:sz w:val="36"/>
          <w:szCs w:val="36"/>
          <w:highlight w:val="none"/>
          <w:u w:val="none"/>
          <w:lang w:val="en-US" w:eastAsia="zh-CN"/>
        </w:rPr>
        <w:t>第十一次</w:t>
      </w:r>
      <w:r>
        <w:rPr>
          <w:rFonts w:hint="eastAsia" w:ascii="宋体" w:hAnsi="宋体" w:eastAsia="宋体" w:cs="宋体"/>
          <w:b/>
          <w:bCs/>
          <w:color w:val="auto"/>
          <w:sz w:val="36"/>
          <w:szCs w:val="36"/>
          <w:highlight w:val="none"/>
          <w:u w:val="none"/>
        </w:rPr>
        <w:t>拍卖</w:t>
      </w:r>
      <w:r>
        <w:rPr>
          <w:rFonts w:hint="eastAsia" w:ascii="宋体" w:hAnsi="宋体" w:eastAsia="宋体" w:cs="宋体"/>
          <w:b/>
          <w:bCs/>
          <w:color w:val="auto"/>
          <w:sz w:val="36"/>
          <w:szCs w:val="36"/>
          <w:highlight w:val="none"/>
          <w:u w:val="none"/>
          <w:lang w:val="en-US" w:eastAsia="zh-CN"/>
        </w:rPr>
        <w:t>公告</w:t>
      </w:r>
    </w:p>
    <w:p w14:paraId="3425B597">
      <w:pPr>
        <w:jc w:val="center"/>
        <w:rPr>
          <w:rFonts w:hint="eastAsia" w:ascii="宋体" w:hAnsi="宋体" w:eastAsia="宋体" w:cs="宋体"/>
          <w:b/>
          <w:bCs/>
          <w:color w:val="auto"/>
          <w:sz w:val="36"/>
          <w:szCs w:val="36"/>
          <w:highlight w:val="none"/>
          <w:u w:val="none"/>
          <w:lang w:val="en-US" w:eastAsia="zh-CN"/>
        </w:rPr>
      </w:pPr>
    </w:p>
    <w:p w14:paraId="458C3729">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lang w:val="en-US" w:eastAsia="zh-CN"/>
        </w:rPr>
      </w:pPr>
      <w:r>
        <w:rPr>
          <w:rFonts w:hint="eastAsia" w:ascii="仿宋" w:hAnsi="仿宋" w:eastAsia="仿宋" w:cs="仿宋"/>
          <w:color w:val="auto"/>
          <w:sz w:val="28"/>
          <w:szCs w:val="28"/>
          <w:highlight w:val="none"/>
          <w:u w:val="none"/>
          <w:lang w:val="en-US" w:eastAsia="zh-CN"/>
        </w:rPr>
        <w:t>菏泽津源节能保温材料有限公司</w:t>
      </w:r>
      <w:r>
        <w:rPr>
          <w:rFonts w:hint="eastAsia" w:ascii="仿宋" w:hAnsi="仿宋" w:eastAsia="仿宋" w:cs="仿宋"/>
          <w:color w:val="auto"/>
          <w:sz w:val="28"/>
          <w:szCs w:val="28"/>
          <w:highlight w:val="none"/>
          <w:u w:val="none"/>
        </w:rPr>
        <w:t>管理人将于</w:t>
      </w:r>
      <w:r>
        <w:rPr>
          <w:rFonts w:hint="eastAsia" w:ascii="仿宋" w:hAnsi="仿宋" w:eastAsia="仿宋" w:cs="仿宋"/>
          <w:b/>
          <w:bCs/>
          <w:color w:val="auto"/>
          <w:sz w:val="28"/>
          <w:szCs w:val="28"/>
          <w:highlight w:val="none"/>
          <w:u w:val="single"/>
        </w:rPr>
        <w:t>20</w:t>
      </w:r>
      <w:r>
        <w:rPr>
          <w:rFonts w:hint="eastAsia" w:ascii="仿宋" w:hAnsi="仿宋" w:eastAsia="仿宋" w:cs="仿宋"/>
          <w:b/>
          <w:bCs/>
          <w:color w:val="auto"/>
          <w:sz w:val="28"/>
          <w:szCs w:val="28"/>
          <w:highlight w:val="none"/>
          <w:u w:val="single"/>
          <w:lang w:val="en-US" w:eastAsia="zh-CN"/>
        </w:rPr>
        <w:t>26</w:t>
      </w:r>
      <w:r>
        <w:rPr>
          <w:rFonts w:hint="eastAsia" w:ascii="仿宋" w:hAnsi="仿宋" w:eastAsia="仿宋" w:cs="仿宋"/>
          <w:b/>
          <w:bCs/>
          <w:color w:val="auto"/>
          <w:sz w:val="28"/>
          <w:szCs w:val="28"/>
          <w:highlight w:val="none"/>
          <w:u w:val="single"/>
        </w:rPr>
        <w:t>年</w:t>
      </w:r>
      <w:r>
        <w:rPr>
          <w:rFonts w:hint="default" w:ascii="仿宋" w:hAnsi="仿宋" w:eastAsia="仿宋" w:cs="仿宋"/>
          <w:b/>
          <w:bCs/>
          <w:color w:val="auto"/>
          <w:sz w:val="28"/>
          <w:szCs w:val="28"/>
          <w:highlight w:val="none"/>
          <w:u w:val="single"/>
          <w:lang w:val="en-US" w:eastAsia="zh-CN"/>
        </w:rPr>
        <w:t>【</w:t>
      </w:r>
      <w:r>
        <w:rPr>
          <w:rFonts w:hint="eastAsia" w:ascii="仿宋" w:hAnsi="仿宋" w:eastAsia="仿宋" w:cs="仿宋"/>
          <w:b/>
          <w:bCs/>
          <w:color w:val="auto"/>
          <w:sz w:val="28"/>
          <w:szCs w:val="28"/>
          <w:highlight w:val="none"/>
          <w:u w:val="single"/>
          <w:lang w:val="en-US" w:eastAsia="zh-CN"/>
        </w:rPr>
        <w:t>9</w:t>
      </w:r>
      <w:r>
        <w:rPr>
          <w:rFonts w:hint="default" w:ascii="仿宋" w:hAnsi="仿宋" w:eastAsia="仿宋" w:cs="仿宋"/>
          <w:b/>
          <w:bCs/>
          <w:color w:val="auto"/>
          <w:sz w:val="28"/>
          <w:szCs w:val="28"/>
          <w:highlight w:val="none"/>
          <w:u w:val="single"/>
          <w:lang w:val="en-US" w:eastAsia="zh-CN"/>
        </w:rPr>
        <w:t>】</w:t>
      </w:r>
      <w:r>
        <w:rPr>
          <w:rFonts w:hint="eastAsia" w:ascii="仿宋" w:hAnsi="仿宋" w:eastAsia="仿宋" w:cs="仿宋"/>
          <w:b/>
          <w:bCs/>
          <w:color w:val="auto"/>
          <w:sz w:val="28"/>
          <w:szCs w:val="28"/>
          <w:highlight w:val="none"/>
          <w:u w:val="single"/>
        </w:rPr>
        <w:t>月</w:t>
      </w:r>
      <w:r>
        <w:rPr>
          <w:rFonts w:hint="default" w:ascii="仿宋" w:hAnsi="仿宋" w:eastAsia="仿宋" w:cs="仿宋"/>
          <w:b/>
          <w:bCs/>
          <w:color w:val="auto"/>
          <w:sz w:val="28"/>
          <w:szCs w:val="28"/>
          <w:highlight w:val="none"/>
          <w:u w:val="single"/>
          <w:lang w:val="en-US" w:eastAsia="zh-CN"/>
        </w:rPr>
        <w:t>【</w:t>
      </w:r>
      <w:r>
        <w:rPr>
          <w:rFonts w:hint="eastAsia" w:ascii="仿宋" w:hAnsi="仿宋" w:eastAsia="仿宋" w:cs="仿宋"/>
          <w:b/>
          <w:bCs/>
          <w:color w:val="auto"/>
          <w:sz w:val="28"/>
          <w:szCs w:val="28"/>
          <w:highlight w:val="none"/>
          <w:u w:val="single"/>
          <w:lang w:val="en-US" w:eastAsia="zh-CN"/>
        </w:rPr>
        <w:t>22</w:t>
      </w:r>
      <w:r>
        <w:rPr>
          <w:rFonts w:hint="default" w:ascii="仿宋" w:hAnsi="仿宋" w:eastAsia="仿宋" w:cs="仿宋"/>
          <w:b/>
          <w:bCs/>
          <w:color w:val="auto"/>
          <w:sz w:val="28"/>
          <w:szCs w:val="28"/>
          <w:highlight w:val="none"/>
          <w:u w:val="single"/>
          <w:lang w:val="en-US" w:eastAsia="zh-CN"/>
        </w:rPr>
        <w:t>】</w:t>
      </w:r>
      <w:r>
        <w:rPr>
          <w:rFonts w:hint="eastAsia" w:ascii="仿宋" w:hAnsi="仿宋" w:eastAsia="仿宋" w:cs="仿宋"/>
          <w:b/>
          <w:bCs/>
          <w:color w:val="auto"/>
          <w:sz w:val="28"/>
          <w:szCs w:val="28"/>
          <w:highlight w:val="none"/>
          <w:u w:val="single"/>
        </w:rPr>
        <w:t>日</w:t>
      </w:r>
      <w:r>
        <w:rPr>
          <w:rFonts w:hint="eastAsia" w:ascii="仿宋" w:hAnsi="仿宋" w:eastAsia="仿宋" w:cs="仿宋"/>
          <w:b/>
          <w:bCs/>
          <w:color w:val="auto"/>
          <w:sz w:val="28"/>
          <w:szCs w:val="28"/>
          <w:highlight w:val="none"/>
          <w:u w:val="single"/>
          <w:lang w:val="en-US" w:eastAsia="zh-CN"/>
        </w:rPr>
        <w:t>9</w:t>
      </w:r>
      <w:r>
        <w:rPr>
          <w:rFonts w:hint="eastAsia" w:ascii="仿宋" w:hAnsi="仿宋" w:eastAsia="仿宋" w:cs="仿宋"/>
          <w:b/>
          <w:bCs/>
          <w:color w:val="auto"/>
          <w:sz w:val="28"/>
          <w:szCs w:val="28"/>
          <w:highlight w:val="none"/>
          <w:u w:val="single"/>
        </w:rPr>
        <w:t>时至20</w:t>
      </w:r>
      <w:r>
        <w:rPr>
          <w:rFonts w:hint="eastAsia" w:ascii="仿宋" w:hAnsi="仿宋" w:eastAsia="仿宋" w:cs="仿宋"/>
          <w:b/>
          <w:bCs/>
          <w:color w:val="auto"/>
          <w:sz w:val="28"/>
          <w:szCs w:val="28"/>
          <w:highlight w:val="none"/>
          <w:u w:val="single"/>
          <w:lang w:val="en-US" w:eastAsia="zh-CN"/>
        </w:rPr>
        <w:t>26</w:t>
      </w:r>
      <w:r>
        <w:rPr>
          <w:rFonts w:hint="eastAsia" w:ascii="仿宋" w:hAnsi="仿宋" w:eastAsia="仿宋" w:cs="仿宋"/>
          <w:b/>
          <w:bCs/>
          <w:color w:val="auto"/>
          <w:sz w:val="28"/>
          <w:szCs w:val="28"/>
          <w:highlight w:val="none"/>
          <w:u w:val="single"/>
        </w:rPr>
        <w:t>年</w:t>
      </w:r>
      <w:r>
        <w:rPr>
          <w:rFonts w:hint="default" w:ascii="仿宋" w:hAnsi="仿宋" w:eastAsia="仿宋" w:cs="仿宋"/>
          <w:b/>
          <w:bCs/>
          <w:color w:val="auto"/>
          <w:sz w:val="28"/>
          <w:szCs w:val="28"/>
          <w:highlight w:val="none"/>
          <w:u w:val="single"/>
          <w:lang w:val="en-US" w:eastAsia="zh-CN"/>
        </w:rPr>
        <w:t>【</w:t>
      </w:r>
      <w:r>
        <w:rPr>
          <w:rFonts w:hint="eastAsia" w:ascii="仿宋" w:hAnsi="仿宋" w:eastAsia="仿宋" w:cs="仿宋"/>
          <w:b/>
          <w:bCs/>
          <w:color w:val="auto"/>
          <w:sz w:val="28"/>
          <w:szCs w:val="28"/>
          <w:highlight w:val="none"/>
          <w:u w:val="single"/>
          <w:lang w:val="en-US" w:eastAsia="zh-CN"/>
        </w:rPr>
        <w:t>9</w:t>
      </w:r>
      <w:r>
        <w:rPr>
          <w:rFonts w:hint="default" w:ascii="仿宋" w:hAnsi="仿宋" w:eastAsia="仿宋" w:cs="仿宋"/>
          <w:b/>
          <w:bCs/>
          <w:color w:val="auto"/>
          <w:sz w:val="28"/>
          <w:szCs w:val="28"/>
          <w:highlight w:val="none"/>
          <w:u w:val="single"/>
          <w:lang w:val="en-US" w:eastAsia="zh-CN"/>
        </w:rPr>
        <w:t>】</w:t>
      </w:r>
      <w:r>
        <w:rPr>
          <w:rFonts w:hint="eastAsia" w:ascii="仿宋" w:hAnsi="仿宋" w:eastAsia="仿宋" w:cs="仿宋"/>
          <w:b/>
          <w:bCs/>
          <w:color w:val="auto"/>
          <w:sz w:val="28"/>
          <w:szCs w:val="28"/>
          <w:highlight w:val="none"/>
          <w:u w:val="single"/>
        </w:rPr>
        <w:t>月</w:t>
      </w:r>
      <w:r>
        <w:rPr>
          <w:rFonts w:hint="default" w:ascii="仿宋" w:hAnsi="仿宋" w:eastAsia="仿宋" w:cs="仿宋"/>
          <w:b/>
          <w:bCs/>
          <w:color w:val="auto"/>
          <w:sz w:val="28"/>
          <w:szCs w:val="28"/>
          <w:highlight w:val="none"/>
          <w:u w:val="single"/>
          <w:lang w:val="en-US" w:eastAsia="zh-CN"/>
        </w:rPr>
        <w:t>【</w:t>
      </w:r>
      <w:r>
        <w:rPr>
          <w:rFonts w:hint="eastAsia" w:ascii="仿宋" w:hAnsi="仿宋" w:eastAsia="仿宋" w:cs="仿宋"/>
          <w:b/>
          <w:bCs/>
          <w:color w:val="auto"/>
          <w:sz w:val="28"/>
          <w:szCs w:val="28"/>
          <w:highlight w:val="none"/>
          <w:u w:val="single"/>
          <w:lang w:val="en-US" w:eastAsia="zh-CN"/>
        </w:rPr>
        <w:t>24</w:t>
      </w:r>
      <w:r>
        <w:rPr>
          <w:rFonts w:hint="default" w:ascii="仿宋" w:hAnsi="仿宋" w:eastAsia="仿宋" w:cs="仿宋"/>
          <w:b/>
          <w:bCs/>
          <w:color w:val="auto"/>
          <w:sz w:val="28"/>
          <w:szCs w:val="28"/>
          <w:highlight w:val="none"/>
          <w:u w:val="single"/>
          <w:lang w:val="en-US" w:eastAsia="zh-CN"/>
        </w:rPr>
        <w:t>】</w:t>
      </w:r>
      <w:r>
        <w:rPr>
          <w:rFonts w:hint="eastAsia" w:ascii="仿宋" w:hAnsi="仿宋" w:eastAsia="仿宋" w:cs="仿宋"/>
          <w:b/>
          <w:bCs/>
          <w:color w:val="auto"/>
          <w:sz w:val="28"/>
          <w:szCs w:val="28"/>
          <w:highlight w:val="none"/>
          <w:u w:val="single"/>
        </w:rPr>
        <w:t>日</w:t>
      </w:r>
      <w:r>
        <w:rPr>
          <w:rFonts w:hint="eastAsia" w:ascii="仿宋" w:hAnsi="仿宋" w:eastAsia="仿宋" w:cs="仿宋"/>
          <w:b/>
          <w:bCs/>
          <w:color w:val="auto"/>
          <w:sz w:val="28"/>
          <w:szCs w:val="28"/>
          <w:highlight w:val="none"/>
          <w:u w:val="single"/>
          <w:lang w:val="en-US" w:eastAsia="zh-CN"/>
        </w:rPr>
        <w:t>17</w:t>
      </w:r>
      <w:r>
        <w:rPr>
          <w:rFonts w:hint="eastAsia" w:ascii="仿宋" w:hAnsi="仿宋" w:eastAsia="仿宋" w:cs="仿宋"/>
          <w:b/>
          <w:bCs/>
          <w:color w:val="auto"/>
          <w:sz w:val="28"/>
          <w:szCs w:val="28"/>
          <w:highlight w:val="none"/>
          <w:u w:val="single"/>
        </w:rPr>
        <w:t>时止（延时除外）</w:t>
      </w:r>
      <w:r>
        <w:rPr>
          <w:rFonts w:hint="eastAsia" w:ascii="仿宋" w:hAnsi="仿宋" w:eastAsia="仿宋" w:cs="仿宋"/>
          <w:color w:val="auto"/>
          <w:sz w:val="28"/>
          <w:szCs w:val="28"/>
          <w:highlight w:val="none"/>
          <w:u w:val="none"/>
        </w:rPr>
        <w:t>在京东拍卖破产强清平台（处置单位：菏泽津源节能保温材料有限公司，监督单位：</w:t>
      </w:r>
      <w:r>
        <w:rPr>
          <w:rFonts w:hint="eastAsia" w:ascii="仿宋" w:hAnsi="仿宋" w:eastAsia="仿宋" w:cs="仿宋"/>
          <w:color w:val="auto"/>
          <w:sz w:val="28"/>
          <w:szCs w:val="28"/>
          <w:highlight w:val="none"/>
          <w:u w:val="none"/>
          <w:lang w:val="en-US" w:eastAsia="zh-CN"/>
        </w:rPr>
        <w:t>菏泽市中级</w:t>
      </w:r>
      <w:r>
        <w:rPr>
          <w:rFonts w:hint="eastAsia" w:ascii="仿宋" w:hAnsi="仿宋" w:eastAsia="仿宋" w:cs="仿宋"/>
          <w:color w:val="auto"/>
          <w:sz w:val="28"/>
          <w:szCs w:val="28"/>
          <w:highlight w:val="none"/>
          <w:u w:val="none"/>
        </w:rPr>
        <w:t>人民法院，网址：https://auction.jd.com/bankrupt.html）进行公开拍卖活动，现公告如下：</w:t>
      </w:r>
      <w:r>
        <w:rPr>
          <w:rFonts w:hint="eastAsia" w:ascii="仿宋" w:hAnsi="仿宋" w:eastAsia="仿宋" w:cs="仿宋"/>
          <w:color w:val="auto"/>
          <w:sz w:val="28"/>
          <w:szCs w:val="28"/>
          <w:highlight w:val="none"/>
          <w:u w:val="none"/>
        </w:rPr>
        <w:br w:type="textWrapping"/>
      </w:r>
      <w:r>
        <w:rPr>
          <w:rFonts w:hint="eastAsia" w:ascii="仿宋" w:hAnsi="仿宋" w:eastAsia="仿宋" w:cs="仿宋"/>
          <w:color w:val="auto"/>
          <w:sz w:val="28"/>
          <w:szCs w:val="28"/>
          <w:highlight w:val="none"/>
          <w:u w:val="none"/>
        </w:rPr>
        <w:t xml:space="preserve">    一、拍卖标的</w:t>
      </w:r>
      <w:r>
        <w:rPr>
          <w:rFonts w:hint="eastAsia" w:ascii="仿宋" w:hAnsi="仿宋" w:eastAsia="仿宋" w:cs="仿宋"/>
          <w:color w:val="auto"/>
          <w:sz w:val="28"/>
          <w:szCs w:val="28"/>
          <w:highlight w:val="none"/>
          <w:u w:val="none"/>
        </w:rPr>
        <w:br w:type="textWrapping"/>
      </w:r>
      <w:r>
        <w:rPr>
          <w:rFonts w:hint="eastAsia" w:ascii="仿宋" w:hAnsi="仿宋" w:eastAsia="仿宋" w:cs="仿宋"/>
          <w:color w:val="auto"/>
          <w:sz w:val="28"/>
          <w:szCs w:val="28"/>
          <w:highlight w:val="none"/>
          <w:u w:val="none"/>
        </w:rPr>
        <w:t xml:space="preserve">    </w:t>
      </w:r>
      <w:r>
        <w:rPr>
          <w:rFonts w:hint="eastAsia" w:ascii="仿宋" w:hAnsi="仿宋" w:eastAsia="仿宋" w:cs="仿宋"/>
          <w:color w:val="auto"/>
          <w:sz w:val="28"/>
          <w:szCs w:val="28"/>
          <w:highlight w:val="none"/>
          <w:u w:val="none"/>
          <w:lang w:val="en-US" w:eastAsia="zh-CN"/>
        </w:rPr>
        <w:t>1、菏泽津源</w:t>
      </w:r>
      <w:r>
        <w:rPr>
          <w:rFonts w:hint="eastAsia" w:ascii="仿宋" w:hAnsi="仿宋" w:eastAsia="仿宋" w:cs="仿宋"/>
          <w:color w:val="auto"/>
          <w:sz w:val="28"/>
          <w:szCs w:val="28"/>
          <w:highlight w:val="none"/>
          <w:u w:val="none"/>
        </w:rPr>
        <w:t>节能保温材料有限公司</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u w:val="none"/>
          <w:lang w:val="en-US" w:eastAsia="zh-CN"/>
        </w:rPr>
        <w:t>以下简称津源公司</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u w:val="none"/>
        </w:rPr>
        <w:t>位于鄄城县沃蓝化工北、临商公路东的房地产</w:t>
      </w:r>
      <w:r>
        <w:rPr>
          <w:rFonts w:hint="eastAsia" w:ascii="仿宋" w:hAnsi="仿宋" w:eastAsia="仿宋" w:cs="仿宋"/>
          <w:color w:val="auto"/>
          <w:sz w:val="28"/>
          <w:szCs w:val="28"/>
          <w:highlight w:val="none"/>
          <w:u w:val="none"/>
          <w:lang w:val="en-US" w:eastAsia="zh-CN"/>
        </w:rPr>
        <w:t>以及报废的机器设备一宗。具体为：（1）土地使用权：土地证号为鄄国用（2012）第0069号，坐落于鄄城县沃蓝化工北、临商公路东，用途为工业用地，面积为65170.9㎡，终止日期为2062年9月23日；（2）房屋建筑物：房产证号为鄄房权证凤凰字第1200616号，坐落于鄄城县经济开发区临商路复线东侧、府前街南侧，规划用途为工业，登记面积为22,996.35平方米；（3）机器设备：主要指法院查封的由鄄城县鲁鑫纺织有限公司代为保管部分机器设备，主要包括半自动压板机、半自动发泡机、全自动切板机等等，以上设备年限久远、损耗锈蚀严重，技术落后，已无再利用使用价值，仅剩废品残值；</w:t>
      </w:r>
    </w:p>
    <w:p w14:paraId="04E618F5">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lang w:val="en-US" w:eastAsia="zh-CN"/>
        </w:rPr>
      </w:pPr>
      <w:r>
        <w:rPr>
          <w:rFonts w:hint="eastAsia" w:ascii="仿宋" w:hAnsi="仿宋" w:eastAsia="仿宋" w:cs="仿宋"/>
          <w:color w:val="auto"/>
          <w:sz w:val="28"/>
          <w:szCs w:val="28"/>
          <w:highlight w:val="none"/>
          <w:u w:val="none"/>
          <w:lang w:val="en-US" w:eastAsia="zh-CN"/>
        </w:rPr>
        <w:t>竞买人可酌情参考以下附件：《菏泽津源节能保温材料有限公司破产清算涉及的固定资产和无形资产清算价值资产评估报告》（节选）[编号：坤信评报字[2023]第临2号]以及后附评估明细表；房产登记档案资料；现场照片；现场全景VR资料。</w:t>
      </w:r>
    </w:p>
    <w:p w14:paraId="0E41F4A4">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lang w:val="en-US" w:eastAsia="zh-CN"/>
        </w:rPr>
      </w:pPr>
      <w:r>
        <w:rPr>
          <w:rFonts w:hint="eastAsia" w:ascii="仿宋" w:hAnsi="仿宋" w:eastAsia="仿宋" w:cs="仿宋"/>
          <w:color w:val="auto"/>
          <w:sz w:val="28"/>
          <w:szCs w:val="28"/>
          <w:highlight w:val="none"/>
          <w:u w:val="none"/>
          <w:lang w:val="en-US" w:eastAsia="zh-CN"/>
        </w:rPr>
        <w:t>有关照片、视频以及全景VR资料等系在首次拍卖之前采集、上述描述和附件文件仅为对拍品概况的初步介绍，本公告、须知中对拍品的描述以及附件中各项文件、照片、视频、全景VR均不代表拍品的最新状态也不视为对拍品现状的承诺和担保。拍卖标的之具体情况包括但不限于数量、质量、外观、产权情况、物理性质、法律性质等等均以现状为准，竞买人应当自行尽职调查、现场看样并立足于自行尽调的结论做出竞买与否、出价金额的判断，并自行承担全部法律后果。请竞买人予以充分注意。</w:t>
      </w:r>
    </w:p>
    <w:p w14:paraId="53B1BFD0">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lang w:val="en-US" w:eastAsia="zh-CN"/>
        </w:rPr>
        <w:t>2、</w:t>
      </w:r>
      <w:r>
        <w:rPr>
          <w:rFonts w:hint="eastAsia" w:ascii="仿宋" w:hAnsi="仿宋" w:eastAsia="仿宋" w:cs="仿宋"/>
          <w:color w:val="auto"/>
          <w:sz w:val="28"/>
          <w:szCs w:val="28"/>
          <w:highlight w:val="none"/>
          <w:u w:val="none"/>
        </w:rPr>
        <w:t>起拍价：</w:t>
      </w:r>
      <w:r>
        <w:rPr>
          <w:rFonts w:hint="eastAsia" w:ascii="仿宋" w:hAnsi="仿宋" w:eastAsia="仿宋" w:cs="仿宋"/>
          <w:color w:val="auto"/>
          <w:sz w:val="28"/>
          <w:szCs w:val="28"/>
          <w:highlight w:val="none"/>
          <w:u w:val="none"/>
          <w:lang w:val="en-US" w:eastAsia="zh-CN"/>
        </w:rPr>
        <w:t>820</w:t>
      </w:r>
      <w:r>
        <w:rPr>
          <w:rFonts w:hint="eastAsia" w:ascii="仿宋" w:hAnsi="仿宋" w:eastAsia="仿宋" w:cs="仿宋"/>
          <w:color w:val="auto"/>
          <w:sz w:val="28"/>
          <w:szCs w:val="28"/>
          <w:highlight w:val="none"/>
          <w:u w:val="none"/>
        </w:rPr>
        <w:t>万元，保证金：</w:t>
      </w:r>
      <w:r>
        <w:rPr>
          <w:rFonts w:hint="eastAsia" w:ascii="仿宋" w:hAnsi="仿宋" w:eastAsia="仿宋" w:cs="仿宋"/>
          <w:color w:val="auto"/>
          <w:sz w:val="28"/>
          <w:szCs w:val="28"/>
          <w:highlight w:val="none"/>
          <w:u w:val="none"/>
          <w:lang w:val="en-US" w:eastAsia="zh-CN"/>
        </w:rPr>
        <w:t>82</w:t>
      </w:r>
      <w:r>
        <w:rPr>
          <w:rFonts w:hint="eastAsia" w:ascii="仿宋" w:hAnsi="仿宋" w:eastAsia="仿宋" w:cs="仿宋"/>
          <w:color w:val="auto"/>
          <w:sz w:val="28"/>
          <w:szCs w:val="28"/>
          <w:highlight w:val="none"/>
          <w:u w:val="none"/>
        </w:rPr>
        <w:t>万元，增价幅度：</w:t>
      </w:r>
      <w:r>
        <w:rPr>
          <w:rFonts w:hint="eastAsia" w:ascii="仿宋" w:hAnsi="仿宋" w:eastAsia="仿宋" w:cs="仿宋"/>
          <w:color w:val="auto"/>
          <w:sz w:val="28"/>
          <w:szCs w:val="28"/>
          <w:highlight w:val="none"/>
          <w:u w:val="none"/>
          <w:lang w:val="en-US" w:eastAsia="zh-CN"/>
        </w:rPr>
        <w:t>1</w:t>
      </w:r>
      <w:r>
        <w:rPr>
          <w:rFonts w:hint="eastAsia" w:ascii="仿宋" w:hAnsi="仿宋" w:eastAsia="仿宋" w:cs="仿宋"/>
          <w:color w:val="auto"/>
          <w:sz w:val="28"/>
          <w:szCs w:val="28"/>
          <w:highlight w:val="none"/>
          <w:u w:val="none"/>
        </w:rPr>
        <w:t>万元及其整数倍。</w:t>
      </w:r>
    </w:p>
    <w:p w14:paraId="783A0D6D">
      <w:pPr>
        <w:pStyle w:val="4"/>
        <w:numPr>
          <w:ilvl w:val="0"/>
          <w:numId w:val="1"/>
        </w:numPr>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lang w:val="en-US" w:eastAsia="zh-CN"/>
        </w:rPr>
        <w:t>重要提示:（1）竞买人应当具备完全民事行为能力，法律、行政法规和司法解释对买受人资格或者条件有特殊规定的，竞买人应当具备规定的资格或者条件。管理人提示竞买人应当重视对竞买资格的尽调研判，提前咨询相关登记机关，防止出现竞买后无法过户、无法移交，无法处分、使用、收益，无法开发建设经营的不利后果。竞买人对其竞买资格自行承担一切责任；（2）本次拍卖标的情况较为复杂，标的物现状与证载情况差别较大，如8号厂房仅剩基础与水泥柱、部分厂房屋顶有缺失等等。本次拍卖全部标的物以其现状为准，管理人不承担拍卖资产的任何瑕疵保证责任，包括但不限于建筑物外观、建筑物主体结构、建筑质量、结构调整、装修损坏、房地产面积差异等，由此产生的问题也不影响拍卖成交结果及成交价格，竞买人应对拍卖标的的产权登记状况、实际状况以及瑕疵（含显性、隐性瑕疵）等自行调查核实、自行承担投资风险。参照最高人民法院有关司法解释规定，拍卖财产以实物现状为准，竞买人可以申请实地看样；竞买人决定参与竞买的，视为对拍卖财产完全了解，并接受拍卖财产一切已知和未知瑕疵；竞买人决定参与竞买的，视为对标的物及相关实物现状的确认和接受，责任自负；（3）评估报告、明细表、现场照片等资料仅供参考阅读，不视为管理人、评估机构等对拍卖标的的性质、价值、产权状况、现状等提供任何担保和瑕疵担保责任;（4）目前场地存在占用情况，尚未有占用人向管理人提供合法占用的协议或文件。因存在占用，建筑物内外装修和扩建、添附情况不清，场地内存在占用人私建地上物等情况。拍卖标的的清场以及腾房事宜均由买受人自行承担，买受人自行处理与占用人的一切争议包括但不限于腾房、清场、装修以及扩建、添附物品产权争议、补偿等等。如买受人需要，管理人可申请法院对资产腾退交接予以协调，但不视为法院和管理人对场地腾退负有义务，对此，请竞买人予以注意。（5）买受人需自行处理与周边相关主体的相邻权争议。土地可能存在以租代征情况或负担向当地村委、政府缴纳土地租金的义务，买受人受让土地后自行解决处理上述问题。（6）因津源公司资料文件公章等均下落不明，公司未移交和提供任何资料，目前管理人未持有土地证、房产证原件，未持有相关规划建设手续等文件，未持有机器设备的发票、合同等基础资料，对此，请竞买人注意。（7）拍卖标的停产停业多年，呈现半开放状态，厂区地面、道路、管网、建筑物、构筑物以及机器设备等年久失修，存在各类安全隐患（包括但不限于坠落、坍塌、倾倒、穿刺、漏电、溺水、动物损害、环境污染等），竞买人自行看样时应委派专业人员、至少两人以上并务必做好各类安全措施，严格确保自身安全，并不得给拍卖标的、周围环境和人员造成财产损失、安全风险和危害。买受人在接管拍卖标的时或使用前，应自行做好或委托专业机构做好充分的安全风险评估和安全隐患排查，严防各类事故。竞买人、买受人发生的任何事故包括但不限于安全或生产事故等均与管理人、拍卖机构无关。</w:t>
      </w:r>
    </w:p>
    <w:p w14:paraId="38BD0E71">
      <w:pPr>
        <w:pStyle w:val="4"/>
        <w:numPr>
          <w:ilvl w:val="-1"/>
          <w:numId w:val="0"/>
        </w:numPr>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以上提示，请竞买人</w:t>
      </w:r>
      <w:r>
        <w:rPr>
          <w:rFonts w:hint="eastAsia" w:ascii="仿宋" w:hAnsi="仿宋" w:eastAsia="仿宋" w:cs="仿宋"/>
          <w:color w:val="auto"/>
          <w:sz w:val="28"/>
          <w:szCs w:val="28"/>
          <w:highlight w:val="none"/>
          <w:u w:val="none"/>
          <w:lang w:val="en-US" w:eastAsia="zh-CN"/>
        </w:rPr>
        <w:t>充分</w:t>
      </w:r>
      <w:r>
        <w:rPr>
          <w:rFonts w:hint="eastAsia" w:ascii="仿宋" w:hAnsi="仿宋" w:eastAsia="仿宋" w:cs="仿宋"/>
          <w:color w:val="auto"/>
          <w:sz w:val="28"/>
          <w:szCs w:val="28"/>
          <w:highlight w:val="none"/>
          <w:u w:val="none"/>
        </w:rPr>
        <w:t>注意，如有疑问可详询管理人。</w:t>
      </w:r>
      <w:r>
        <w:rPr>
          <w:rFonts w:hint="eastAsia" w:ascii="仿宋" w:hAnsi="仿宋" w:eastAsia="仿宋" w:cs="仿宋"/>
          <w:color w:val="auto"/>
          <w:sz w:val="28"/>
          <w:szCs w:val="28"/>
          <w:highlight w:val="none"/>
          <w:u w:val="none"/>
        </w:rPr>
        <w:br w:type="textWrapping"/>
      </w:r>
      <w:r>
        <w:rPr>
          <w:rFonts w:hint="eastAsia" w:ascii="仿宋" w:hAnsi="仿宋" w:eastAsia="仿宋" w:cs="仿宋"/>
          <w:color w:val="auto"/>
          <w:sz w:val="28"/>
          <w:szCs w:val="28"/>
          <w:highlight w:val="none"/>
          <w:u w:val="none"/>
        </w:rPr>
        <w:t xml:space="preserve">    二、咨询、展示看样的时间与方式</w:t>
      </w:r>
    </w:p>
    <w:p w14:paraId="082E2360">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lang w:val="en-US" w:eastAsia="zh-CN"/>
        </w:rPr>
      </w:pPr>
      <w:r>
        <w:rPr>
          <w:rFonts w:hint="eastAsia" w:ascii="仿宋" w:hAnsi="仿宋" w:eastAsia="仿宋" w:cs="仿宋"/>
          <w:color w:val="auto"/>
          <w:sz w:val="28"/>
          <w:szCs w:val="28"/>
          <w:highlight w:val="none"/>
          <w:u w:val="none"/>
        </w:rPr>
        <w:t>自202</w:t>
      </w:r>
      <w:r>
        <w:rPr>
          <w:rFonts w:hint="eastAsia" w:ascii="仿宋" w:hAnsi="仿宋" w:eastAsia="仿宋" w:cs="仿宋"/>
          <w:color w:val="auto"/>
          <w:sz w:val="28"/>
          <w:szCs w:val="28"/>
          <w:highlight w:val="none"/>
          <w:u w:val="none"/>
          <w:lang w:val="en-US" w:eastAsia="zh-CN"/>
        </w:rPr>
        <w:t>6</w:t>
      </w:r>
      <w:r>
        <w:rPr>
          <w:rFonts w:hint="eastAsia" w:ascii="仿宋" w:hAnsi="仿宋" w:eastAsia="仿宋" w:cs="仿宋"/>
          <w:color w:val="auto"/>
          <w:sz w:val="28"/>
          <w:szCs w:val="28"/>
          <w:highlight w:val="none"/>
          <w:u w:val="none"/>
        </w:rPr>
        <w:t>年【</w:t>
      </w:r>
      <w:r>
        <w:rPr>
          <w:rFonts w:hint="eastAsia" w:ascii="仿宋" w:hAnsi="仿宋" w:eastAsia="仿宋" w:cs="仿宋"/>
          <w:color w:val="auto"/>
          <w:sz w:val="28"/>
          <w:szCs w:val="28"/>
          <w:highlight w:val="none"/>
          <w:u w:val="none"/>
          <w:lang w:val="en-US" w:eastAsia="zh-CN"/>
        </w:rPr>
        <w:t>9</w:t>
      </w:r>
      <w:r>
        <w:rPr>
          <w:rFonts w:hint="eastAsia" w:ascii="仿宋" w:hAnsi="仿宋" w:eastAsia="仿宋" w:cs="仿宋"/>
          <w:color w:val="auto"/>
          <w:sz w:val="28"/>
          <w:szCs w:val="28"/>
          <w:highlight w:val="none"/>
          <w:u w:val="none"/>
        </w:rPr>
        <w:t>】月【</w:t>
      </w:r>
      <w:r>
        <w:rPr>
          <w:rFonts w:hint="eastAsia" w:ascii="仿宋" w:hAnsi="仿宋" w:eastAsia="仿宋" w:cs="仿宋"/>
          <w:color w:val="auto"/>
          <w:sz w:val="28"/>
          <w:szCs w:val="28"/>
          <w:highlight w:val="none"/>
          <w:u w:val="none"/>
          <w:lang w:val="en-US" w:eastAsia="zh-CN"/>
        </w:rPr>
        <w:t>5</w:t>
      </w:r>
      <w:r>
        <w:rPr>
          <w:rFonts w:hint="eastAsia" w:ascii="仿宋" w:hAnsi="仿宋" w:eastAsia="仿宋" w:cs="仿宋"/>
          <w:color w:val="auto"/>
          <w:sz w:val="28"/>
          <w:szCs w:val="28"/>
          <w:highlight w:val="none"/>
          <w:u w:val="none"/>
        </w:rPr>
        <w:t>】日起至202</w:t>
      </w:r>
      <w:r>
        <w:rPr>
          <w:rFonts w:hint="eastAsia" w:ascii="仿宋" w:hAnsi="仿宋" w:eastAsia="仿宋" w:cs="仿宋"/>
          <w:color w:val="auto"/>
          <w:sz w:val="28"/>
          <w:szCs w:val="28"/>
          <w:highlight w:val="none"/>
          <w:u w:val="none"/>
          <w:lang w:val="en-US" w:eastAsia="zh-CN"/>
        </w:rPr>
        <w:t>6</w:t>
      </w:r>
      <w:r>
        <w:rPr>
          <w:rFonts w:hint="eastAsia" w:ascii="仿宋" w:hAnsi="仿宋" w:eastAsia="仿宋" w:cs="仿宋"/>
          <w:color w:val="auto"/>
          <w:sz w:val="28"/>
          <w:szCs w:val="28"/>
          <w:highlight w:val="none"/>
          <w:u w:val="none"/>
        </w:rPr>
        <w:t>年【</w:t>
      </w:r>
      <w:r>
        <w:rPr>
          <w:rFonts w:hint="eastAsia" w:ascii="仿宋" w:hAnsi="仿宋" w:eastAsia="仿宋" w:cs="仿宋"/>
          <w:color w:val="auto"/>
          <w:sz w:val="28"/>
          <w:szCs w:val="28"/>
          <w:highlight w:val="none"/>
          <w:u w:val="none"/>
          <w:lang w:val="en-US" w:eastAsia="zh-CN"/>
        </w:rPr>
        <w:t>9</w:t>
      </w:r>
      <w:r>
        <w:rPr>
          <w:rFonts w:hint="eastAsia" w:ascii="仿宋" w:hAnsi="仿宋" w:eastAsia="仿宋" w:cs="仿宋"/>
          <w:color w:val="auto"/>
          <w:sz w:val="28"/>
          <w:szCs w:val="28"/>
          <w:highlight w:val="none"/>
          <w:u w:val="none"/>
        </w:rPr>
        <w:t>】月【</w:t>
      </w:r>
      <w:r>
        <w:rPr>
          <w:rFonts w:hint="eastAsia" w:ascii="仿宋" w:hAnsi="仿宋" w:eastAsia="仿宋" w:cs="仿宋"/>
          <w:color w:val="auto"/>
          <w:sz w:val="28"/>
          <w:szCs w:val="28"/>
          <w:highlight w:val="none"/>
          <w:u w:val="none"/>
          <w:lang w:val="en-US" w:eastAsia="zh-CN"/>
        </w:rPr>
        <w:t>21</w:t>
      </w:r>
      <w:r>
        <w:rPr>
          <w:rFonts w:hint="eastAsia" w:ascii="仿宋" w:hAnsi="仿宋" w:eastAsia="仿宋" w:cs="仿宋"/>
          <w:color w:val="auto"/>
          <w:sz w:val="28"/>
          <w:szCs w:val="28"/>
          <w:highlight w:val="none"/>
          <w:u w:val="none"/>
        </w:rPr>
        <w:t>】日【17】时止（节假日除外）接受咨询，联系人：</w:t>
      </w:r>
      <w:r>
        <w:rPr>
          <w:rFonts w:hint="eastAsia" w:ascii="仿宋" w:hAnsi="仿宋" w:eastAsia="仿宋" w:cs="仿宋"/>
          <w:color w:val="auto"/>
          <w:sz w:val="28"/>
          <w:szCs w:val="28"/>
          <w:highlight w:val="none"/>
          <w:u w:val="none"/>
          <w:lang w:val="en-US" w:eastAsia="zh-CN"/>
        </w:rPr>
        <w:t>徐律师、黄律师</w:t>
      </w:r>
      <w:r>
        <w:rPr>
          <w:rFonts w:hint="eastAsia" w:ascii="仿宋" w:hAnsi="仿宋" w:eastAsia="仿宋" w:cs="仿宋"/>
          <w:color w:val="auto"/>
          <w:sz w:val="28"/>
          <w:szCs w:val="28"/>
          <w:highlight w:val="none"/>
          <w:u w:val="none"/>
        </w:rPr>
        <w:t>，咨询电话：</w:t>
      </w:r>
      <w:r>
        <w:rPr>
          <w:rFonts w:hint="eastAsia" w:ascii="仿宋" w:hAnsi="仿宋" w:eastAsia="仿宋" w:cs="仿宋"/>
          <w:color w:val="auto"/>
          <w:sz w:val="28"/>
          <w:szCs w:val="28"/>
          <w:highlight w:val="none"/>
          <w:u w:val="none"/>
          <w:lang w:val="en-US" w:eastAsia="zh-CN"/>
        </w:rPr>
        <w:t>15668292568</w:t>
      </w:r>
      <w:r>
        <w:rPr>
          <w:rFonts w:hint="eastAsia" w:ascii="仿宋" w:hAnsi="仿宋" w:eastAsia="仿宋" w:cs="仿宋"/>
          <w:color w:val="auto"/>
          <w:sz w:val="28"/>
          <w:szCs w:val="28"/>
          <w:highlight w:val="none"/>
          <w:u w:val="none"/>
        </w:rPr>
        <w:t>。有意者可自行看样，或与联系人沟通具体看样方式。</w:t>
      </w:r>
    </w:p>
    <w:p w14:paraId="62375C0E">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三、标的已知优先购买权人：</w:t>
      </w:r>
      <w:r>
        <w:rPr>
          <w:rFonts w:hint="eastAsia" w:ascii="仿宋" w:hAnsi="仿宋" w:eastAsia="仿宋" w:cs="仿宋"/>
          <w:color w:val="auto"/>
          <w:sz w:val="28"/>
          <w:szCs w:val="28"/>
          <w:highlight w:val="none"/>
          <w:u w:val="none"/>
          <w:lang w:val="en-US" w:eastAsia="zh-CN"/>
        </w:rPr>
        <w:t>目前暂</w:t>
      </w:r>
      <w:r>
        <w:rPr>
          <w:rFonts w:hint="eastAsia" w:ascii="仿宋" w:hAnsi="仿宋" w:eastAsia="仿宋" w:cs="仿宋"/>
          <w:color w:val="auto"/>
          <w:sz w:val="28"/>
          <w:szCs w:val="28"/>
          <w:highlight w:val="none"/>
          <w:u w:val="none"/>
        </w:rPr>
        <w:t>无。</w:t>
      </w:r>
    </w:p>
    <w:p w14:paraId="700FF260">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竞价标的如若存在优先购买权人，优先购买权人参加竞买的，应于竞价活动开始</w:t>
      </w:r>
      <w:r>
        <w:rPr>
          <w:rFonts w:hint="eastAsia" w:ascii="仿宋" w:hAnsi="仿宋" w:eastAsia="仿宋" w:cs="仿宋"/>
          <w:color w:val="auto"/>
          <w:sz w:val="28"/>
          <w:szCs w:val="28"/>
          <w:highlight w:val="none"/>
          <w:u w:val="none"/>
          <w:lang w:val="en-US" w:eastAsia="zh-CN"/>
        </w:rPr>
        <w:t>【3】</w:t>
      </w:r>
      <w:r>
        <w:rPr>
          <w:rFonts w:hint="eastAsia" w:ascii="仿宋" w:hAnsi="仿宋" w:eastAsia="仿宋" w:cs="仿宋"/>
          <w:color w:val="auto"/>
          <w:sz w:val="28"/>
          <w:szCs w:val="28"/>
          <w:highlight w:val="none"/>
          <w:u w:val="none"/>
        </w:rPr>
        <w:t>个工作日前向上拍机构或管理人提交合法有效的证明（登记的证件信息必须与京东实名认证相一致），资格经本上拍机构或管理人确认后才能以优先购买权人的身份参与竞买，逾期不提交的，视为放弃对本标的物享有优先购买权。本标的优先购买权人未参加竞价，亦视为放弃优先购买权。</w:t>
      </w:r>
      <w:r>
        <w:rPr>
          <w:rFonts w:hint="eastAsia" w:ascii="仿宋" w:hAnsi="仿宋" w:eastAsia="仿宋" w:cs="仿宋"/>
          <w:color w:val="auto"/>
          <w:sz w:val="28"/>
          <w:szCs w:val="28"/>
          <w:highlight w:val="none"/>
          <w:u w:val="none"/>
        </w:rPr>
        <w:br w:type="textWrapping"/>
      </w:r>
      <w:r>
        <w:rPr>
          <w:rFonts w:hint="eastAsia" w:ascii="仿宋" w:hAnsi="仿宋" w:eastAsia="仿宋" w:cs="仿宋"/>
          <w:color w:val="auto"/>
          <w:sz w:val="28"/>
          <w:szCs w:val="28"/>
          <w:highlight w:val="none"/>
          <w:u w:val="none"/>
        </w:rPr>
        <w:t xml:space="preserve">    四、对上述标的权属有异议者，竞价开始前</w:t>
      </w:r>
      <w:r>
        <w:rPr>
          <w:rFonts w:hint="eastAsia" w:ascii="仿宋" w:hAnsi="仿宋" w:eastAsia="仿宋" w:cs="仿宋"/>
          <w:color w:val="auto"/>
          <w:sz w:val="28"/>
          <w:szCs w:val="28"/>
          <w:highlight w:val="none"/>
          <w:u w:val="none"/>
          <w:lang w:val="en-US" w:eastAsia="zh-CN"/>
        </w:rPr>
        <w:t>【3】</w:t>
      </w:r>
      <w:r>
        <w:rPr>
          <w:rFonts w:hint="eastAsia" w:ascii="仿宋" w:hAnsi="仿宋" w:eastAsia="仿宋" w:cs="仿宋"/>
          <w:color w:val="auto"/>
          <w:sz w:val="28"/>
          <w:szCs w:val="28"/>
          <w:highlight w:val="none"/>
          <w:u w:val="none"/>
        </w:rPr>
        <w:t>天与管理人联系。与本标的物有利害关系的当事人可参加竞价，不参加竞价的请关注本次竞价活动的整个过程。</w:t>
      </w:r>
    </w:p>
    <w:p w14:paraId="4DBAF240">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五、竞价方式</w:t>
      </w:r>
    </w:p>
    <w:p w14:paraId="08365E34">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（一）竞价从起拍价开始以递增出价方式竞价，增价幅度由管理人确定，竞买人以低于起拍价出价的无效。</w:t>
      </w:r>
    </w:p>
    <w:p w14:paraId="730215C5">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（二）本次竞价活动设置延时出价功能，在竞价活动结束前，每最后5分钟如果有竞买人出价，就自动延迟5分钟。</w:t>
      </w:r>
    </w:p>
    <w:p w14:paraId="17027B24">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（三）本次拍卖保留价为起拍价。</w:t>
      </w:r>
    </w:p>
    <w:p w14:paraId="1E348D78">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六、保证金与余款交纳</w:t>
      </w:r>
    </w:p>
    <w:p w14:paraId="2E3439BC">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第一次出价前，意向竞买人须在京东注册账号并通过实名认证（已注册京东账号需通过实名认证），在线支付竞买保证金，支付后系统自动冻结该笔保证金。竞价成交的，本标的物竞得者（以下称</w:t>
      </w:r>
      <w:r>
        <w:rPr>
          <w:rFonts w:hint="eastAsia" w:ascii="仿宋" w:hAnsi="仿宋" w:eastAsia="仿宋" w:cs="仿宋"/>
          <w:color w:val="auto"/>
          <w:sz w:val="28"/>
          <w:szCs w:val="28"/>
          <w:highlight w:val="none"/>
          <w:u w:val="none"/>
          <w:lang w:eastAsia="zh-CN"/>
        </w:rPr>
        <w:t>买受人</w:t>
      </w:r>
      <w:r>
        <w:rPr>
          <w:rFonts w:hint="eastAsia" w:ascii="仿宋" w:hAnsi="仿宋" w:eastAsia="仿宋" w:cs="仿宋"/>
          <w:color w:val="auto"/>
          <w:sz w:val="28"/>
          <w:szCs w:val="28"/>
          <w:highlight w:val="none"/>
          <w:u w:val="none"/>
        </w:rPr>
        <w:t>）冻结的保证金将自动转为部分成交款，由京东结算给管理人指定账户；竞价结束后，未能竞得者的保证金以及竞价未成交的（即流拍的）竞买人的保证金在竞价活动结束后即时解冻，保证金冻结期间不计利息。</w:t>
      </w:r>
    </w:p>
    <w:p w14:paraId="5C812813">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竞价成交后，</w:t>
      </w:r>
      <w:r>
        <w:rPr>
          <w:rFonts w:hint="eastAsia" w:ascii="仿宋" w:hAnsi="仿宋" w:eastAsia="仿宋" w:cs="仿宋"/>
          <w:color w:val="auto"/>
          <w:sz w:val="28"/>
          <w:szCs w:val="28"/>
          <w:highlight w:val="none"/>
          <w:u w:val="none"/>
          <w:lang w:val="en-US" w:eastAsia="zh-CN"/>
        </w:rPr>
        <w:t>买受人</w:t>
      </w:r>
      <w:r>
        <w:rPr>
          <w:rFonts w:hint="eastAsia" w:ascii="仿宋" w:hAnsi="仿宋" w:eastAsia="仿宋" w:cs="仿宋"/>
          <w:color w:val="auto"/>
          <w:sz w:val="28"/>
          <w:szCs w:val="28"/>
          <w:highlight w:val="none"/>
          <w:u w:val="none"/>
        </w:rPr>
        <w:t>原锁定的保证金自动转入管理人指定账户。</w:t>
      </w:r>
      <w:r>
        <w:rPr>
          <w:rFonts w:hint="eastAsia" w:ascii="仿宋" w:hAnsi="仿宋" w:eastAsia="仿宋" w:cs="仿宋"/>
          <w:color w:val="auto"/>
          <w:sz w:val="28"/>
          <w:szCs w:val="28"/>
          <w:highlight w:val="none"/>
          <w:u w:val="none"/>
          <w:lang w:eastAsia="zh-CN"/>
        </w:rPr>
        <w:t>买受人</w:t>
      </w:r>
      <w:r>
        <w:rPr>
          <w:rFonts w:hint="eastAsia" w:ascii="仿宋" w:hAnsi="仿宋" w:eastAsia="仿宋" w:cs="仿宋"/>
          <w:color w:val="auto"/>
          <w:sz w:val="28"/>
          <w:szCs w:val="28"/>
          <w:highlight w:val="none"/>
          <w:u w:val="none"/>
        </w:rPr>
        <w:t>应于成交之时起</w:t>
      </w:r>
      <w:r>
        <w:rPr>
          <w:rFonts w:hint="eastAsia" w:ascii="仿宋" w:hAnsi="仿宋" w:eastAsia="仿宋" w:cs="仿宋"/>
          <w:color w:val="auto"/>
          <w:sz w:val="28"/>
          <w:szCs w:val="28"/>
          <w:highlight w:val="none"/>
          <w:u w:val="none"/>
          <w:lang w:val="en-US" w:eastAsia="zh-CN"/>
        </w:rPr>
        <w:t>【10】</w:t>
      </w:r>
      <w:r>
        <w:rPr>
          <w:rFonts w:hint="eastAsia" w:ascii="仿宋" w:hAnsi="仿宋" w:eastAsia="仿宋" w:cs="仿宋"/>
          <w:color w:val="auto"/>
          <w:sz w:val="28"/>
          <w:szCs w:val="28"/>
          <w:highlight w:val="none"/>
          <w:u w:val="none"/>
        </w:rPr>
        <w:t>日内将竞价成交价余款（扣除保证金后的余款）缴入管理人指定账户（户名：菏泽津源节能保温材料有限公司管理人；账号：937000010150948898；开户行：中国邮政储蓄银行股份有限公司曹县支行），注明“破产案号：</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u w:val="none"/>
          <w:lang w:val="en-US" w:eastAsia="zh-CN"/>
        </w:rPr>
        <w:t>2018</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u w:val="none"/>
          <w:lang w:val="en-US" w:eastAsia="zh-CN"/>
        </w:rPr>
        <w:t>鲁17破7号</w:t>
      </w:r>
      <w:r>
        <w:rPr>
          <w:rFonts w:hint="eastAsia" w:ascii="仿宋" w:hAnsi="仿宋" w:eastAsia="仿宋" w:cs="仿宋"/>
          <w:color w:val="auto"/>
          <w:sz w:val="28"/>
          <w:szCs w:val="28"/>
          <w:highlight w:val="none"/>
          <w:u w:val="none"/>
        </w:rPr>
        <w:t>；款项性质：</w:t>
      </w:r>
      <w:r>
        <w:rPr>
          <w:rFonts w:hint="eastAsia" w:ascii="仿宋" w:hAnsi="仿宋" w:eastAsia="仿宋" w:cs="仿宋"/>
          <w:color w:val="auto"/>
          <w:sz w:val="28"/>
          <w:szCs w:val="28"/>
          <w:highlight w:val="none"/>
          <w:u w:val="none"/>
          <w:lang w:val="en-US" w:eastAsia="zh-CN"/>
        </w:rPr>
        <w:t>津源破产财产拍卖价款</w:t>
      </w:r>
      <w:r>
        <w:rPr>
          <w:rFonts w:hint="eastAsia" w:ascii="仿宋" w:hAnsi="仿宋" w:eastAsia="仿宋" w:cs="仿宋"/>
          <w:color w:val="auto"/>
          <w:sz w:val="28"/>
          <w:szCs w:val="28"/>
          <w:highlight w:val="none"/>
          <w:u w:val="none"/>
        </w:rPr>
        <w:t>”。逾期则视为</w:t>
      </w:r>
      <w:r>
        <w:rPr>
          <w:rFonts w:hint="eastAsia" w:ascii="仿宋" w:hAnsi="仿宋" w:eastAsia="仿宋" w:cs="仿宋"/>
          <w:color w:val="auto"/>
          <w:sz w:val="28"/>
          <w:szCs w:val="28"/>
          <w:highlight w:val="none"/>
          <w:u w:val="none"/>
          <w:lang w:eastAsia="zh-CN"/>
        </w:rPr>
        <w:t>买受人</w:t>
      </w:r>
      <w:r>
        <w:rPr>
          <w:rFonts w:hint="eastAsia" w:ascii="仿宋" w:hAnsi="仿宋" w:eastAsia="仿宋" w:cs="仿宋"/>
          <w:color w:val="auto"/>
          <w:sz w:val="28"/>
          <w:szCs w:val="28"/>
          <w:highlight w:val="none"/>
          <w:u w:val="none"/>
        </w:rPr>
        <w:t>违约，竞买保证金不予退还。</w:t>
      </w:r>
    </w:p>
    <w:p w14:paraId="2F8BFFC4">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七、移交与过户</w:t>
      </w:r>
    </w:p>
    <w:p w14:paraId="36F24992">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lang w:eastAsia="zh-CN"/>
        </w:rPr>
        <w:t>买受人</w:t>
      </w:r>
      <w:r>
        <w:rPr>
          <w:rFonts w:hint="eastAsia" w:ascii="仿宋" w:hAnsi="仿宋" w:eastAsia="仿宋" w:cs="仿宋"/>
          <w:color w:val="auto"/>
          <w:sz w:val="28"/>
          <w:szCs w:val="28"/>
          <w:highlight w:val="none"/>
          <w:u w:val="none"/>
        </w:rPr>
        <w:t>在交齐所有成交款后</w:t>
      </w:r>
      <w:r>
        <w:rPr>
          <w:rFonts w:hint="eastAsia" w:ascii="仿宋" w:hAnsi="仿宋" w:eastAsia="仿宋" w:cs="仿宋"/>
          <w:color w:val="auto"/>
          <w:sz w:val="28"/>
          <w:szCs w:val="28"/>
          <w:highlight w:val="none"/>
          <w:u w:val="none"/>
          <w:lang w:val="en-US" w:eastAsia="zh-CN"/>
        </w:rPr>
        <w:t>【5】</w:t>
      </w:r>
      <w:r>
        <w:rPr>
          <w:rFonts w:hint="eastAsia" w:ascii="仿宋" w:hAnsi="仿宋" w:eastAsia="仿宋" w:cs="仿宋"/>
          <w:color w:val="auto"/>
          <w:sz w:val="28"/>
          <w:szCs w:val="28"/>
          <w:highlight w:val="none"/>
          <w:u w:val="none"/>
        </w:rPr>
        <w:t>个工作日内（凭付款凭证及相关身份材料、委托手续等原件）到</w:t>
      </w:r>
      <w:r>
        <w:rPr>
          <w:rFonts w:hint="eastAsia" w:ascii="仿宋" w:hAnsi="仿宋" w:eastAsia="仿宋" w:cs="仿宋"/>
          <w:color w:val="auto"/>
          <w:sz w:val="28"/>
          <w:szCs w:val="28"/>
          <w:highlight w:val="none"/>
          <w:u w:val="none"/>
          <w:lang w:val="en-US"/>
        </w:rPr>
        <w:t>菏泽津源节能保温材料有限公司管理人</w:t>
      </w:r>
      <w:r>
        <w:rPr>
          <w:rFonts w:hint="eastAsia" w:ascii="仿宋" w:hAnsi="仿宋" w:eastAsia="仿宋" w:cs="仿宋"/>
          <w:color w:val="auto"/>
          <w:sz w:val="28"/>
          <w:szCs w:val="28"/>
          <w:highlight w:val="none"/>
          <w:u w:val="none"/>
        </w:rPr>
        <w:t>处（地址：</w:t>
      </w:r>
      <w:r>
        <w:rPr>
          <w:rFonts w:hint="eastAsia" w:ascii="仿宋" w:hAnsi="仿宋" w:eastAsia="仿宋" w:cs="仿宋"/>
          <w:color w:val="auto"/>
          <w:sz w:val="28"/>
          <w:szCs w:val="28"/>
          <w:highlight w:val="none"/>
          <w:u w:val="none"/>
          <w:lang w:val="en-US" w:eastAsia="zh-CN"/>
        </w:rPr>
        <w:t>山东省菏泽市曹县富民大道新都帝景花园小区25号楼3单元306室，联系电话15668292568</w:t>
      </w:r>
      <w:r>
        <w:rPr>
          <w:rFonts w:hint="eastAsia" w:ascii="仿宋" w:hAnsi="仿宋" w:eastAsia="仿宋" w:cs="仿宋"/>
          <w:color w:val="auto"/>
          <w:sz w:val="28"/>
          <w:szCs w:val="28"/>
          <w:highlight w:val="none"/>
          <w:u w:val="none"/>
        </w:rPr>
        <w:t>）办理交接手续并签署《</w:t>
      </w:r>
      <w:r>
        <w:rPr>
          <w:rFonts w:hint="eastAsia" w:ascii="仿宋" w:hAnsi="仿宋" w:eastAsia="仿宋" w:cs="仿宋"/>
          <w:color w:val="auto"/>
          <w:sz w:val="28"/>
          <w:szCs w:val="28"/>
          <w:highlight w:val="none"/>
          <w:u w:val="none"/>
          <w:lang w:val="en-US" w:eastAsia="zh-CN"/>
        </w:rPr>
        <w:t>拍卖成交确认书</w:t>
      </w:r>
      <w:r>
        <w:rPr>
          <w:rFonts w:hint="eastAsia" w:ascii="仿宋" w:hAnsi="仿宋" w:eastAsia="仿宋" w:cs="仿宋"/>
          <w:color w:val="auto"/>
          <w:sz w:val="28"/>
          <w:szCs w:val="28"/>
          <w:highlight w:val="none"/>
          <w:u w:val="none"/>
        </w:rPr>
        <w:t>》。</w:t>
      </w:r>
    </w:p>
    <w:p w14:paraId="1B84F3DA">
      <w:pPr>
        <w:pStyle w:val="4"/>
        <w:shd w:val="clear" w:color="auto" w:fill="FFFFFF"/>
        <w:spacing w:before="0" w:beforeAutospacing="0" w:after="0" w:afterAutospacing="0" w:line="450" w:lineRule="atLeast"/>
        <w:ind w:firstLine="560" w:firstLineChars="200"/>
        <w:rPr>
          <w:rFonts w:hint="default" w:ascii="仿宋" w:hAnsi="仿宋" w:eastAsia="仿宋" w:cs="仿宋"/>
          <w:color w:val="auto"/>
          <w:sz w:val="28"/>
          <w:szCs w:val="28"/>
          <w:highlight w:val="none"/>
          <w:u w:val="none"/>
          <w:lang w:val="en-US" w:eastAsia="zh-CN"/>
        </w:rPr>
      </w:pPr>
      <w:r>
        <w:rPr>
          <w:rFonts w:hint="eastAsia" w:ascii="仿宋" w:hAnsi="仿宋" w:eastAsia="仿宋" w:cs="仿宋"/>
          <w:color w:val="auto"/>
          <w:sz w:val="28"/>
          <w:szCs w:val="28"/>
          <w:highlight w:val="none"/>
          <w:u w:val="none"/>
          <w:lang w:val="en-US" w:eastAsia="zh-CN"/>
        </w:rPr>
        <w:t>签署《拍卖成交确认书》视为拍卖标的移交完毕。买受人自行进行清场或腾房，机器设备由买受方自行联系保管人运走。过户登记应当在资产交接手续完成后进行，</w:t>
      </w:r>
      <w:r>
        <w:rPr>
          <w:rFonts w:hint="eastAsia" w:ascii="仿宋" w:hAnsi="仿宋" w:eastAsia="仿宋" w:cs="仿宋"/>
          <w:color w:val="auto"/>
          <w:sz w:val="28"/>
          <w:szCs w:val="28"/>
          <w:highlight w:val="none"/>
          <w:u w:val="none"/>
          <w:lang w:eastAsia="zh-CN"/>
        </w:rPr>
        <w:t>买受人</w:t>
      </w:r>
      <w:r>
        <w:rPr>
          <w:rFonts w:hint="eastAsia" w:ascii="仿宋" w:hAnsi="仿宋" w:eastAsia="仿宋" w:cs="仿宋"/>
          <w:color w:val="auto"/>
          <w:sz w:val="28"/>
          <w:szCs w:val="28"/>
          <w:highlight w:val="none"/>
          <w:u w:val="none"/>
          <w:lang w:val="en-US" w:eastAsia="zh-CN"/>
        </w:rPr>
        <w:t>自行负责</w:t>
      </w:r>
      <w:r>
        <w:rPr>
          <w:rFonts w:hint="eastAsia" w:ascii="仿宋" w:hAnsi="仿宋" w:eastAsia="仿宋" w:cs="仿宋"/>
          <w:color w:val="auto"/>
          <w:sz w:val="28"/>
          <w:szCs w:val="28"/>
          <w:highlight w:val="none"/>
          <w:u w:val="none"/>
        </w:rPr>
        <w:t>产权过户</w:t>
      </w:r>
      <w:r>
        <w:rPr>
          <w:rFonts w:hint="eastAsia" w:ascii="仿宋" w:hAnsi="仿宋" w:eastAsia="仿宋" w:cs="仿宋"/>
          <w:color w:val="auto"/>
          <w:sz w:val="28"/>
          <w:szCs w:val="28"/>
          <w:highlight w:val="none"/>
          <w:u w:val="none"/>
          <w:lang w:val="en-US" w:eastAsia="zh-CN"/>
        </w:rPr>
        <w:t>登记</w:t>
      </w:r>
      <w:r>
        <w:rPr>
          <w:rFonts w:hint="eastAsia" w:ascii="仿宋" w:hAnsi="仿宋" w:eastAsia="仿宋" w:cs="仿宋"/>
          <w:color w:val="auto"/>
          <w:sz w:val="28"/>
          <w:szCs w:val="28"/>
          <w:highlight w:val="none"/>
          <w:u w:val="none"/>
        </w:rPr>
        <w:t>手续</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u w:val="none"/>
          <w:lang w:val="en-US" w:eastAsia="zh-CN"/>
        </w:rPr>
        <w:t>对于场地资产移交以及过户登记事宜，管理人可在权限范围之内提供部分协助，如遇特殊情况，管理人可应买受人申请协调本案破产合议庭予以协调处理，前述管理人协助协调事项不视为管理人应承担的义务。</w:t>
      </w:r>
    </w:p>
    <w:p w14:paraId="6F09F3EF">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竞价成交</w:t>
      </w:r>
      <w:r>
        <w:rPr>
          <w:rFonts w:hint="eastAsia" w:ascii="仿宋" w:hAnsi="仿宋" w:eastAsia="仿宋" w:cs="仿宋"/>
          <w:color w:val="auto"/>
          <w:sz w:val="28"/>
          <w:szCs w:val="28"/>
          <w:highlight w:val="none"/>
          <w:u w:val="none"/>
          <w:lang w:val="en-US" w:eastAsia="zh-CN"/>
        </w:rPr>
        <w:t>后</w:t>
      </w:r>
      <w:r>
        <w:rPr>
          <w:rFonts w:hint="eastAsia" w:ascii="仿宋" w:hAnsi="仿宋" w:eastAsia="仿宋" w:cs="仿宋"/>
          <w:color w:val="auto"/>
          <w:sz w:val="28"/>
          <w:szCs w:val="28"/>
          <w:highlight w:val="none"/>
          <w:u w:val="none"/>
        </w:rPr>
        <w:t>，过户时所产生的</w:t>
      </w:r>
      <w:r>
        <w:rPr>
          <w:rFonts w:hint="eastAsia" w:ascii="仿宋" w:hAnsi="仿宋" w:eastAsia="仿宋" w:cs="仿宋"/>
          <w:color w:val="auto"/>
          <w:sz w:val="28"/>
          <w:szCs w:val="28"/>
          <w:highlight w:val="none"/>
          <w:u w:val="none"/>
          <w:lang w:val="en-US" w:eastAsia="zh-CN"/>
        </w:rPr>
        <w:t>税款和过户登记费用依照国家规定由津源公司和买受人各自承担应承担的税费。</w:t>
      </w:r>
      <w:r>
        <w:rPr>
          <w:rFonts w:hint="eastAsia" w:ascii="仿宋" w:hAnsi="仿宋" w:eastAsia="仿宋" w:cs="仿宋"/>
          <w:color w:val="auto"/>
          <w:sz w:val="28"/>
          <w:szCs w:val="28"/>
          <w:highlight w:val="none"/>
          <w:u w:val="none"/>
        </w:rPr>
        <w:t>成交价不包含应补地价</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u w:val="none"/>
          <w:lang w:val="en-US" w:eastAsia="zh-CN"/>
        </w:rPr>
        <w:t>如有</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u w:val="none"/>
        </w:rPr>
        <w:t>、土地使用费</w:t>
      </w:r>
      <w:r>
        <w:rPr>
          <w:rFonts w:hint="eastAsia" w:ascii="仿宋" w:hAnsi="仿宋" w:eastAsia="仿宋" w:cs="仿宋"/>
          <w:color w:val="auto"/>
          <w:sz w:val="28"/>
          <w:szCs w:val="28"/>
          <w:highlight w:val="none"/>
          <w:u w:val="none"/>
          <w:lang w:val="en-US" w:eastAsia="zh-CN"/>
        </w:rPr>
        <w:t>租金</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u w:val="none"/>
          <w:lang w:val="en-US" w:eastAsia="zh-CN"/>
        </w:rPr>
        <w:t>如有</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u w:val="none"/>
          <w:lang w:val="en-US" w:eastAsia="zh-CN"/>
        </w:rPr>
        <w:t>闲置费（如有）以及买受人应承担的税、费，如有该类应付款项或债务应由买受人自行承担</w:t>
      </w:r>
      <w:r>
        <w:rPr>
          <w:rFonts w:hint="eastAsia" w:ascii="仿宋" w:hAnsi="仿宋" w:eastAsia="仿宋" w:cs="仿宋"/>
          <w:color w:val="auto"/>
          <w:sz w:val="28"/>
          <w:szCs w:val="28"/>
          <w:highlight w:val="none"/>
          <w:u w:val="none"/>
        </w:rPr>
        <w:t>；</w:t>
      </w:r>
      <w:r>
        <w:rPr>
          <w:rFonts w:hint="eastAsia" w:ascii="仿宋" w:hAnsi="仿宋" w:eastAsia="仿宋" w:cs="仿宋"/>
          <w:color w:val="auto"/>
          <w:sz w:val="28"/>
          <w:szCs w:val="28"/>
          <w:highlight w:val="none"/>
          <w:u w:val="none"/>
          <w:lang w:val="en-US" w:eastAsia="zh-CN"/>
        </w:rPr>
        <w:t>建议</w:t>
      </w:r>
      <w:r>
        <w:rPr>
          <w:rFonts w:hint="eastAsia" w:ascii="仿宋" w:hAnsi="仿宋" w:eastAsia="仿宋" w:cs="仿宋"/>
          <w:color w:val="auto"/>
          <w:sz w:val="28"/>
          <w:szCs w:val="28"/>
          <w:highlight w:val="none"/>
          <w:u w:val="none"/>
        </w:rPr>
        <w:t>竞买人</w:t>
      </w:r>
      <w:r>
        <w:rPr>
          <w:rFonts w:hint="eastAsia" w:ascii="仿宋" w:hAnsi="仿宋" w:eastAsia="仿宋" w:cs="仿宋"/>
          <w:color w:val="auto"/>
          <w:sz w:val="28"/>
          <w:szCs w:val="28"/>
          <w:highlight w:val="none"/>
          <w:u w:val="none"/>
          <w:lang w:val="en-US" w:eastAsia="zh-CN"/>
        </w:rPr>
        <w:t>竞拍前即应自行全面尽职调查、</w:t>
      </w:r>
      <w:r>
        <w:rPr>
          <w:rFonts w:hint="eastAsia" w:ascii="仿宋" w:hAnsi="仿宋" w:eastAsia="仿宋" w:cs="仿宋"/>
          <w:color w:val="auto"/>
          <w:sz w:val="28"/>
          <w:szCs w:val="28"/>
          <w:highlight w:val="none"/>
          <w:u w:val="none"/>
        </w:rPr>
        <w:t>自行</w:t>
      </w:r>
      <w:r>
        <w:rPr>
          <w:rFonts w:hint="eastAsia" w:ascii="仿宋" w:hAnsi="仿宋" w:eastAsia="仿宋" w:cs="仿宋"/>
          <w:color w:val="auto"/>
          <w:sz w:val="28"/>
          <w:szCs w:val="28"/>
          <w:highlight w:val="none"/>
          <w:u w:val="none"/>
          <w:lang w:val="en-US" w:eastAsia="zh-CN"/>
        </w:rPr>
        <w:t>详细</w:t>
      </w:r>
      <w:r>
        <w:rPr>
          <w:rFonts w:hint="eastAsia" w:ascii="仿宋" w:hAnsi="仿宋" w:eastAsia="仿宋" w:cs="仿宋"/>
          <w:color w:val="auto"/>
          <w:sz w:val="28"/>
          <w:szCs w:val="28"/>
          <w:highlight w:val="none"/>
          <w:u w:val="none"/>
        </w:rPr>
        <w:t>向相关主管部门咨询</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u w:val="none"/>
          <w:lang w:val="en-US" w:eastAsia="zh-CN"/>
        </w:rPr>
        <w:t>全面了解需承担的款项和费用、过户流程、所需资料等，全面把握竞拍风险</w:t>
      </w:r>
      <w:r>
        <w:rPr>
          <w:rFonts w:hint="eastAsia" w:ascii="仿宋" w:hAnsi="仿宋" w:eastAsia="仿宋" w:cs="仿宋"/>
          <w:color w:val="auto"/>
          <w:sz w:val="28"/>
          <w:szCs w:val="28"/>
          <w:highlight w:val="none"/>
          <w:u w:val="none"/>
        </w:rPr>
        <w:t>。竞价标的所涉及的水、电、煤气、管理费等相关未了</w:t>
      </w:r>
      <w:r>
        <w:rPr>
          <w:rFonts w:hint="eastAsia" w:ascii="仿宋" w:hAnsi="仿宋" w:eastAsia="仿宋" w:cs="仿宋"/>
          <w:color w:val="auto"/>
          <w:sz w:val="28"/>
          <w:szCs w:val="28"/>
          <w:highlight w:val="none"/>
          <w:u w:val="none"/>
          <w:lang w:val="en-US" w:eastAsia="zh-CN"/>
        </w:rPr>
        <w:t>且</w:t>
      </w:r>
      <w:r>
        <w:rPr>
          <w:rFonts w:hint="eastAsia" w:ascii="仿宋" w:hAnsi="仿宋" w:eastAsia="仿宋" w:cs="仿宋"/>
          <w:color w:val="auto"/>
          <w:sz w:val="28"/>
          <w:szCs w:val="28"/>
          <w:highlight w:val="none"/>
          <w:u w:val="none"/>
        </w:rPr>
        <w:t>受法律保护的债务由</w:t>
      </w:r>
      <w:r>
        <w:rPr>
          <w:rFonts w:hint="eastAsia" w:ascii="仿宋" w:hAnsi="仿宋" w:eastAsia="仿宋" w:cs="仿宋"/>
          <w:color w:val="auto"/>
          <w:sz w:val="28"/>
          <w:szCs w:val="28"/>
          <w:highlight w:val="none"/>
          <w:u w:val="none"/>
          <w:lang w:val="en-US" w:eastAsia="zh-CN"/>
        </w:rPr>
        <w:t>买受人</w:t>
      </w:r>
      <w:r>
        <w:rPr>
          <w:rFonts w:hint="eastAsia" w:ascii="仿宋" w:hAnsi="仿宋" w:eastAsia="仿宋" w:cs="仿宋"/>
          <w:color w:val="auto"/>
          <w:sz w:val="28"/>
          <w:szCs w:val="28"/>
          <w:highlight w:val="none"/>
          <w:u w:val="none"/>
        </w:rPr>
        <w:t>承担</w:t>
      </w:r>
      <w:r>
        <w:rPr>
          <w:rFonts w:hint="eastAsia" w:ascii="仿宋" w:hAnsi="仿宋" w:eastAsia="仿宋" w:cs="仿宋"/>
          <w:color w:val="auto"/>
          <w:sz w:val="28"/>
          <w:szCs w:val="28"/>
          <w:highlight w:val="none"/>
          <w:u w:val="none"/>
          <w:lang w:val="en-US" w:eastAsia="zh-CN"/>
        </w:rPr>
        <w:t>。</w:t>
      </w:r>
      <w:r>
        <w:rPr>
          <w:rFonts w:hint="eastAsia" w:ascii="仿宋" w:hAnsi="仿宋" w:eastAsia="仿宋" w:cs="仿宋"/>
          <w:color w:val="auto"/>
          <w:sz w:val="28"/>
          <w:szCs w:val="28"/>
          <w:highlight w:val="none"/>
          <w:u w:val="none"/>
          <w:lang w:eastAsia="zh-CN"/>
        </w:rPr>
        <w:t>买受人</w:t>
      </w:r>
      <w:r>
        <w:rPr>
          <w:rFonts w:hint="eastAsia" w:ascii="仿宋" w:hAnsi="仿宋" w:eastAsia="仿宋" w:cs="仿宋"/>
          <w:color w:val="auto"/>
          <w:sz w:val="28"/>
          <w:szCs w:val="28"/>
          <w:highlight w:val="none"/>
          <w:u w:val="none"/>
        </w:rPr>
        <w:t>在承担后不得据此主张竞价无效或向管理人、上拍机构索偿。因拍卖成交之后</w:t>
      </w:r>
      <w:r>
        <w:rPr>
          <w:rFonts w:hint="eastAsia" w:ascii="仿宋" w:hAnsi="仿宋" w:eastAsia="仿宋" w:cs="仿宋"/>
          <w:color w:val="auto"/>
          <w:sz w:val="28"/>
          <w:szCs w:val="28"/>
          <w:highlight w:val="none"/>
          <w:u w:val="none"/>
          <w:lang w:val="en-US" w:eastAsia="zh-CN"/>
        </w:rPr>
        <w:t>津源</w:t>
      </w:r>
      <w:r>
        <w:rPr>
          <w:rFonts w:hint="eastAsia" w:ascii="仿宋" w:hAnsi="仿宋" w:eastAsia="仿宋" w:cs="仿宋"/>
          <w:color w:val="auto"/>
          <w:sz w:val="28"/>
          <w:szCs w:val="28"/>
          <w:highlight w:val="none"/>
          <w:u w:val="none"/>
        </w:rPr>
        <w:t>公司需处理拍卖资产的纳税事宜，过户登记所需时间可能较长，对此，请竞买人予以充分注意，管理人不对过户登记所需时间提供任何承诺和保证。</w:t>
      </w:r>
    </w:p>
    <w:p w14:paraId="24013FB2">
      <w:pPr>
        <w:pStyle w:val="4"/>
        <w:shd w:val="clear" w:color="auto" w:fill="FFFFFF"/>
        <w:spacing w:before="0" w:beforeAutospacing="0" w:after="0" w:afterAutospacing="0" w:line="450" w:lineRule="atLeast"/>
        <w:ind w:firstLine="560" w:firstLineChars="200"/>
        <w:rPr>
          <w:rFonts w:hint="default" w:ascii="仿宋" w:hAnsi="仿宋" w:eastAsia="仿宋" w:cs="仿宋"/>
          <w:color w:val="auto"/>
          <w:sz w:val="28"/>
          <w:szCs w:val="28"/>
          <w:highlight w:val="none"/>
          <w:u w:val="none"/>
          <w:lang w:val="en-US" w:eastAsia="zh-CN"/>
        </w:rPr>
      </w:pPr>
      <w:r>
        <w:rPr>
          <w:rFonts w:hint="eastAsia" w:ascii="仿宋" w:hAnsi="仿宋" w:eastAsia="仿宋" w:cs="仿宋"/>
          <w:color w:val="auto"/>
          <w:sz w:val="28"/>
          <w:szCs w:val="28"/>
          <w:highlight w:val="none"/>
          <w:u w:val="none"/>
          <w:lang w:val="en-US" w:eastAsia="zh-CN"/>
        </w:rPr>
        <w:t>买受人对有关款项承担、债务承担有争议的，应在办理过户手续前提出，由管理人报告本案破产合议庭审批处理</w:t>
      </w:r>
      <w:r>
        <w:rPr>
          <w:rFonts w:hint="eastAsia" w:ascii="仿宋" w:hAnsi="仿宋" w:eastAsia="仿宋" w:cs="仿宋"/>
          <w:color w:val="auto"/>
          <w:sz w:val="28"/>
          <w:szCs w:val="28"/>
          <w:highlight w:val="none"/>
          <w:u w:val="none"/>
        </w:rPr>
        <w:t>。</w:t>
      </w:r>
      <w:r>
        <w:rPr>
          <w:rFonts w:hint="eastAsia" w:ascii="仿宋" w:hAnsi="仿宋" w:eastAsia="仿宋" w:cs="仿宋"/>
          <w:color w:val="auto"/>
          <w:sz w:val="28"/>
          <w:szCs w:val="28"/>
          <w:highlight w:val="none"/>
          <w:u w:val="none"/>
          <w:lang w:val="en-US" w:eastAsia="zh-CN"/>
        </w:rPr>
        <w:t>在津源公司或管理人缴纳过户税款后再行提出的，如对本次竞拍结果造成变动的，买受人承担变动导致的津源公司或管理人各类损失（包括但不限于转让过户、二次过户或回转过户税款、手续费等）。津源公司就拍卖成交价款开始进行破产分配之后，买受人不得再提出有关款项争议，如有该类争议或出现有关损失，均由买受人自行处理和承担。对此，请买受人充分注意前述风险。</w:t>
      </w:r>
    </w:p>
    <w:p w14:paraId="08006A0A">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八、风险提示</w:t>
      </w:r>
    </w:p>
    <w:p w14:paraId="2FBDC476">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（一）标物特殊情况说明：</w:t>
      </w:r>
      <w:r>
        <w:rPr>
          <w:rFonts w:hint="eastAsia" w:ascii="仿宋" w:hAnsi="仿宋" w:eastAsia="仿宋" w:cs="仿宋"/>
          <w:color w:val="auto"/>
          <w:sz w:val="28"/>
          <w:szCs w:val="28"/>
          <w:highlight w:val="none"/>
          <w:u w:val="none"/>
          <w:lang w:val="en-US" w:eastAsia="zh-CN"/>
        </w:rPr>
        <w:t>具体详见本文件中有关拍卖标的的相关叙述和提示说明；</w:t>
      </w:r>
      <w:r>
        <w:rPr>
          <w:rFonts w:hint="eastAsia" w:ascii="仿宋" w:hAnsi="仿宋" w:eastAsia="仿宋" w:cs="仿宋"/>
          <w:color w:val="auto"/>
          <w:sz w:val="28"/>
          <w:szCs w:val="28"/>
          <w:highlight w:val="none"/>
          <w:u w:val="none"/>
        </w:rPr>
        <w:t>竞拍前，请</w:t>
      </w:r>
      <w:r>
        <w:rPr>
          <w:rFonts w:hint="eastAsia" w:ascii="仿宋" w:hAnsi="仿宋" w:eastAsia="仿宋" w:cs="仿宋"/>
          <w:color w:val="auto"/>
          <w:sz w:val="28"/>
          <w:szCs w:val="28"/>
          <w:highlight w:val="none"/>
          <w:u w:val="none"/>
          <w:lang w:val="en-US" w:eastAsia="zh-CN"/>
        </w:rPr>
        <w:t>竞买人</w:t>
      </w:r>
      <w:r>
        <w:rPr>
          <w:rFonts w:hint="eastAsia" w:ascii="仿宋" w:hAnsi="仿宋" w:eastAsia="仿宋" w:cs="仿宋"/>
          <w:color w:val="auto"/>
          <w:sz w:val="28"/>
          <w:szCs w:val="28"/>
          <w:highlight w:val="none"/>
          <w:u w:val="none"/>
        </w:rPr>
        <w:t>自行组织尽调，充分了解标的物的详情</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u w:val="none"/>
        </w:rPr>
        <w:t>尽调产生的费用自理</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u w:val="none"/>
        </w:rPr>
        <w:t>竞价成交后，京东平台将收取竞买人标的成交价千分之五的服务费</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u w:val="none"/>
          <w:lang w:val="en-US" w:eastAsia="zh-CN"/>
        </w:rPr>
        <w:t>五十万元封顶</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u w:val="none"/>
        </w:rPr>
        <w:t>此费用</w:t>
      </w:r>
      <w:r>
        <w:rPr>
          <w:rFonts w:hint="eastAsia" w:ascii="仿宋" w:hAnsi="仿宋" w:eastAsia="仿宋" w:cs="仿宋"/>
          <w:color w:val="auto"/>
          <w:sz w:val="28"/>
          <w:szCs w:val="28"/>
          <w:highlight w:val="none"/>
          <w:u w:val="none"/>
          <w:lang w:val="en-US" w:eastAsia="zh-CN"/>
        </w:rPr>
        <w:t>须</w:t>
      </w:r>
      <w:r>
        <w:rPr>
          <w:rFonts w:hint="eastAsia" w:ascii="仿宋" w:hAnsi="仿宋" w:eastAsia="仿宋" w:cs="仿宋"/>
          <w:color w:val="auto"/>
          <w:sz w:val="28"/>
          <w:szCs w:val="28"/>
          <w:highlight w:val="none"/>
          <w:u w:val="none"/>
        </w:rPr>
        <w:t>由买受人按规定自行另外支付，不包含在标的成交价款之内。</w:t>
      </w:r>
    </w:p>
    <w:p w14:paraId="158F6922">
      <w:pPr>
        <w:pStyle w:val="4"/>
        <w:shd w:val="clear" w:color="auto" w:fill="FFFFFF"/>
        <w:spacing w:before="0" w:beforeAutospacing="0" w:after="0" w:afterAutospacing="0" w:line="450" w:lineRule="atLeast"/>
        <w:ind w:firstLine="560" w:firstLineChars="200"/>
        <w:rPr>
          <w:rFonts w:hint="default" w:ascii="仿宋" w:hAnsi="仿宋" w:eastAsia="仿宋" w:cs="仿宋"/>
          <w:color w:val="auto"/>
          <w:sz w:val="28"/>
          <w:szCs w:val="28"/>
          <w:highlight w:val="none"/>
          <w:u w:val="none"/>
          <w:lang w:val="en-US" w:eastAsia="zh-CN"/>
        </w:rPr>
      </w:pPr>
      <w:r>
        <w:rPr>
          <w:rFonts w:hint="eastAsia" w:ascii="仿宋" w:hAnsi="仿宋" w:eastAsia="仿宋" w:cs="仿宋"/>
          <w:color w:val="auto"/>
          <w:sz w:val="28"/>
          <w:szCs w:val="28"/>
          <w:highlight w:val="none"/>
          <w:u w:val="none"/>
        </w:rPr>
        <w:t>（二）竞买人应当具备完全民事行为能力。竞买人也可根据</w:t>
      </w:r>
      <w:r>
        <w:rPr>
          <w:rFonts w:hint="eastAsia" w:ascii="仿宋" w:hAnsi="仿宋" w:eastAsia="仿宋" w:cs="仿宋"/>
          <w:color w:val="auto"/>
          <w:sz w:val="28"/>
          <w:szCs w:val="28"/>
          <w:highlight w:val="none"/>
          <w:u w:val="none"/>
          <w:lang w:val="en-US" w:eastAsia="zh-CN"/>
        </w:rPr>
        <w:t>拍卖文件</w:t>
      </w:r>
      <w:r>
        <w:rPr>
          <w:rFonts w:hint="eastAsia" w:ascii="仿宋" w:hAnsi="仿宋" w:eastAsia="仿宋" w:cs="仿宋"/>
          <w:color w:val="auto"/>
          <w:sz w:val="28"/>
          <w:szCs w:val="28"/>
          <w:highlight w:val="none"/>
          <w:u w:val="none"/>
        </w:rPr>
        <w:t>相关规定委托代理人（具备完全民事行为能力的自然人）</w:t>
      </w:r>
      <w:r>
        <w:rPr>
          <w:rFonts w:hint="eastAsia" w:ascii="仿宋" w:hAnsi="仿宋" w:eastAsia="仿宋" w:cs="仿宋"/>
          <w:color w:val="auto"/>
          <w:sz w:val="28"/>
          <w:szCs w:val="28"/>
          <w:highlight w:val="none"/>
          <w:u w:val="none"/>
          <w:lang w:val="en-US" w:eastAsia="zh-CN"/>
        </w:rPr>
        <w:t>处理</w:t>
      </w:r>
      <w:r>
        <w:rPr>
          <w:rFonts w:hint="eastAsia" w:ascii="仿宋" w:hAnsi="仿宋" w:eastAsia="仿宋" w:cs="仿宋"/>
          <w:color w:val="auto"/>
          <w:sz w:val="28"/>
          <w:szCs w:val="28"/>
          <w:highlight w:val="none"/>
          <w:u w:val="none"/>
        </w:rPr>
        <w:t>竞买</w:t>
      </w:r>
      <w:r>
        <w:rPr>
          <w:rFonts w:hint="eastAsia" w:ascii="仿宋" w:hAnsi="仿宋" w:eastAsia="仿宋" w:cs="仿宋"/>
          <w:color w:val="auto"/>
          <w:sz w:val="28"/>
          <w:szCs w:val="28"/>
          <w:highlight w:val="none"/>
          <w:u w:val="none"/>
          <w:lang w:val="en-US" w:eastAsia="zh-CN"/>
        </w:rPr>
        <w:t>事宜</w:t>
      </w:r>
      <w:r>
        <w:rPr>
          <w:rFonts w:hint="eastAsia" w:ascii="仿宋" w:hAnsi="仿宋" w:eastAsia="仿宋" w:cs="仿宋"/>
          <w:color w:val="auto"/>
          <w:sz w:val="28"/>
          <w:szCs w:val="28"/>
          <w:highlight w:val="none"/>
          <w:u w:val="none"/>
        </w:rPr>
        <w:t>。</w:t>
      </w:r>
    </w:p>
    <w:p w14:paraId="1D2CD5FB">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三）竞买人竞价前应向土地、在建工程以及不动产登记主管部门和市场监管、税务、外管、商务等政府部门，对标的物的权属、能否过户、过户要求和流程、税费缴付的标准及起止时间、能否开发、开发条件、规划条件以及限制、土地使用条件、相邻关系，以及其他须注意的事项进行咨询，因政策原因或其他原因导致不能过户、不能</w:t>
      </w:r>
      <w:r>
        <w:rPr>
          <w:rFonts w:hint="eastAsia" w:ascii="仿宋" w:hAnsi="仿宋" w:eastAsia="仿宋" w:cs="仿宋"/>
          <w:color w:val="auto"/>
          <w:sz w:val="28"/>
          <w:szCs w:val="28"/>
          <w:highlight w:val="none"/>
          <w:u w:val="none"/>
          <w:lang w:val="en-US" w:eastAsia="zh-CN"/>
        </w:rPr>
        <w:t>有效利用以及</w:t>
      </w:r>
      <w:r>
        <w:rPr>
          <w:rFonts w:hint="eastAsia" w:ascii="仿宋" w:hAnsi="仿宋" w:eastAsia="仿宋" w:cs="仿宋"/>
          <w:color w:val="auto"/>
          <w:sz w:val="28"/>
          <w:szCs w:val="28"/>
          <w:highlight w:val="none"/>
          <w:u w:val="none"/>
        </w:rPr>
        <w:t>开发经营的风险由竞买人承担。</w:t>
      </w:r>
    </w:p>
    <w:p w14:paraId="095F20ED">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四）本次网络竞价所涉标的物，全部依其现状进行处置。现状是指看样时点标的的质量、数量、新旧程度、使用现状等现实状况，至竞价时点竞买人没有异议，则表示竞买人认可看样时点与竞价时点标的现状一致。请欲报名参与竞价的竞买人充分考虑标的显性和隐性的瑕疵风险以及市场价格的波动，谨慎选择，慎重决定。管理人、上拍机构、京东网络竞价平台不承担标的物的瑕疵保证。有意者请亲自实地看样，未看样的竞买人视为对本标的实物现状的确认，责任自负。</w:t>
      </w:r>
    </w:p>
    <w:p w14:paraId="5DDC7854">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（五）</w:t>
      </w:r>
      <w:r>
        <w:rPr>
          <w:rFonts w:hint="eastAsia" w:ascii="仿宋" w:hAnsi="仿宋" w:eastAsia="仿宋" w:cs="仿宋"/>
          <w:color w:val="auto"/>
          <w:sz w:val="28"/>
          <w:szCs w:val="28"/>
          <w:highlight w:val="none"/>
          <w:u w:val="none"/>
          <w:lang w:val="en-US" w:eastAsia="zh-CN"/>
        </w:rPr>
        <w:t>拍卖成交后，买受人违约的，将依照有关法律法规、本次拍卖公告、须知以及相关拍卖规则、拍卖文件规定等承担违约责任；非买受人原因导致本次交易行为不能履行、履行不能或不能实现交易目的，管理人报经法院批准后，可终止并解除本次交易，买受人应原状退还拍卖标的物</w:t>
      </w:r>
      <w:r>
        <w:rPr>
          <w:rFonts w:hint="eastAsia" w:ascii="仿宋" w:hAnsi="仿宋" w:eastAsia="仿宋" w:cs="仿宋"/>
          <w:color w:val="auto"/>
          <w:sz w:val="28"/>
          <w:szCs w:val="28"/>
          <w:highlight w:val="none"/>
          <w:u w:val="none"/>
        </w:rPr>
        <w:t>，</w:t>
      </w:r>
      <w:r>
        <w:rPr>
          <w:rFonts w:hint="eastAsia" w:ascii="仿宋" w:hAnsi="仿宋" w:eastAsia="仿宋" w:cs="仿宋"/>
          <w:color w:val="auto"/>
          <w:sz w:val="28"/>
          <w:szCs w:val="28"/>
          <w:highlight w:val="none"/>
          <w:u w:val="none"/>
          <w:lang w:val="en-US" w:eastAsia="zh-CN"/>
        </w:rPr>
        <w:t>管理人无息</w:t>
      </w:r>
      <w:r>
        <w:rPr>
          <w:rFonts w:hint="eastAsia" w:ascii="仿宋" w:hAnsi="仿宋" w:eastAsia="仿宋" w:cs="仿宋"/>
          <w:color w:val="auto"/>
          <w:sz w:val="28"/>
          <w:szCs w:val="28"/>
          <w:highlight w:val="none"/>
          <w:u w:val="none"/>
        </w:rPr>
        <w:t>退还</w:t>
      </w:r>
      <w:r>
        <w:rPr>
          <w:rFonts w:hint="eastAsia" w:ascii="仿宋" w:hAnsi="仿宋" w:eastAsia="仿宋" w:cs="仿宋"/>
          <w:color w:val="auto"/>
          <w:sz w:val="28"/>
          <w:szCs w:val="28"/>
          <w:highlight w:val="none"/>
          <w:u w:val="none"/>
          <w:lang w:eastAsia="zh-CN"/>
        </w:rPr>
        <w:t>买受人</w:t>
      </w:r>
      <w:r>
        <w:rPr>
          <w:rFonts w:hint="eastAsia" w:ascii="仿宋" w:hAnsi="仿宋" w:eastAsia="仿宋" w:cs="仿宋"/>
          <w:color w:val="auto"/>
          <w:sz w:val="28"/>
          <w:szCs w:val="28"/>
          <w:highlight w:val="none"/>
          <w:u w:val="none"/>
        </w:rPr>
        <w:t>支付的全部价款，管理人与网络竞价平台不承担任何赔偿责任。</w:t>
      </w:r>
    </w:p>
    <w:p w14:paraId="7356D164">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（六）争议处理。买受人对本次拍卖事项包括但不限于债务</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u w:val="none"/>
          <w:lang w:val="en-US" w:eastAsia="zh-CN"/>
        </w:rPr>
        <w:t>税费</w:t>
      </w:r>
      <w:r>
        <w:rPr>
          <w:rFonts w:hint="eastAsia" w:ascii="仿宋" w:hAnsi="仿宋" w:eastAsia="仿宋" w:cs="仿宋"/>
          <w:color w:val="auto"/>
          <w:sz w:val="28"/>
          <w:szCs w:val="28"/>
          <w:highlight w:val="none"/>
          <w:u w:val="none"/>
        </w:rPr>
        <w:t>或各类款项承担、标的物状况、移交或过户安排等有争议的，应至迟在办理过户手续前提出，由管理人报告本案破产合议庭</w:t>
      </w:r>
      <w:r>
        <w:rPr>
          <w:rFonts w:hint="eastAsia" w:ascii="仿宋" w:hAnsi="仿宋" w:eastAsia="仿宋" w:cs="仿宋"/>
          <w:color w:val="auto"/>
          <w:sz w:val="28"/>
          <w:szCs w:val="28"/>
          <w:highlight w:val="none"/>
          <w:u w:val="none"/>
          <w:lang w:val="en-US" w:eastAsia="zh-CN"/>
        </w:rPr>
        <w:t>审查、</w:t>
      </w:r>
      <w:r>
        <w:rPr>
          <w:rFonts w:hint="eastAsia" w:ascii="仿宋" w:hAnsi="仿宋" w:eastAsia="仿宋" w:cs="仿宋"/>
          <w:color w:val="auto"/>
          <w:sz w:val="28"/>
          <w:szCs w:val="28"/>
          <w:highlight w:val="none"/>
          <w:u w:val="none"/>
        </w:rPr>
        <w:t>审批处理。在津源公司或管理人缴纳过户税款、费用后再行提出的，如对本次竞拍结果造成变动的，买受人承担变动导致的津源公司或管理人各类损失（包括但不限于</w:t>
      </w:r>
      <w:r>
        <w:rPr>
          <w:rFonts w:hint="eastAsia" w:ascii="仿宋" w:hAnsi="仿宋" w:eastAsia="仿宋" w:cs="仿宋"/>
          <w:color w:val="auto"/>
          <w:sz w:val="28"/>
          <w:szCs w:val="28"/>
          <w:highlight w:val="none"/>
          <w:u w:val="none"/>
          <w:lang w:val="en-US" w:eastAsia="zh-CN"/>
        </w:rPr>
        <w:t>转让过户、二次过户、回转过户发生的全部</w:t>
      </w:r>
      <w:r>
        <w:rPr>
          <w:rFonts w:hint="eastAsia" w:ascii="仿宋" w:hAnsi="仿宋" w:eastAsia="仿宋" w:cs="仿宋"/>
          <w:color w:val="auto"/>
          <w:sz w:val="28"/>
          <w:szCs w:val="28"/>
          <w:highlight w:val="none"/>
          <w:u w:val="none"/>
        </w:rPr>
        <w:t>税款、手续费等）。津源公司就拍卖成交价款开始进行破产分配之后，买受人不得再提出有关争议，</w:t>
      </w:r>
      <w:r>
        <w:rPr>
          <w:rFonts w:hint="eastAsia" w:ascii="仿宋" w:hAnsi="仿宋" w:eastAsia="仿宋" w:cs="仿宋"/>
          <w:color w:val="auto"/>
          <w:sz w:val="28"/>
          <w:szCs w:val="28"/>
          <w:highlight w:val="none"/>
          <w:u w:val="none"/>
          <w:lang w:val="en-US" w:eastAsia="zh-CN"/>
        </w:rPr>
        <w:t>无论该争议基于的事实是成交之前还是成交之后发生的，也无论该损失是成交之前现存的、潜在的或成交之后新发生的，</w:t>
      </w:r>
      <w:r>
        <w:rPr>
          <w:rFonts w:hint="eastAsia" w:ascii="仿宋" w:hAnsi="仿宋" w:eastAsia="仿宋" w:cs="仿宋"/>
          <w:color w:val="auto"/>
          <w:sz w:val="28"/>
          <w:szCs w:val="28"/>
          <w:highlight w:val="none"/>
          <w:u w:val="none"/>
        </w:rPr>
        <w:t>均由买受人自行处理和承担。对此，请买受人充分注意前述风险。</w:t>
      </w:r>
    </w:p>
    <w:p w14:paraId="096580AD">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lang w:eastAsia="zh-CN"/>
        </w:rPr>
      </w:pP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u w:val="none"/>
          <w:lang w:val="en-US" w:eastAsia="zh-CN"/>
        </w:rPr>
        <w:t>七</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u w:val="none"/>
        </w:rPr>
        <w:t>管理人、上拍机构对此次竞价标的物所作的说明和提供的图片、文字资料等，不构成对标的物的任何担保，不作为对竞买人参与此次竞价的建议，不作为竞买人判断、权衡价值的最终依据，竞买人应自行尽调了解情况。</w:t>
      </w:r>
      <w:r>
        <w:rPr>
          <w:rFonts w:hint="eastAsia" w:ascii="仿宋" w:hAnsi="仿宋" w:eastAsia="仿宋" w:cs="仿宋"/>
          <w:b w:val="0"/>
          <w:bCs w:val="0"/>
          <w:color w:val="auto"/>
          <w:sz w:val="28"/>
          <w:szCs w:val="28"/>
          <w:highlight w:val="none"/>
          <w:u w:val="none"/>
        </w:rPr>
        <w:t>特别提醒：有意者请亲自实地看样，未看样的竞买人视为对本标的物现状的确认，竞买人一旦作出竞买决定，即表明已完全了解，并接受标的物的现状和一切已知及未知的瑕疵，责任自负</w:t>
      </w:r>
      <w:r>
        <w:rPr>
          <w:rFonts w:hint="eastAsia" w:ascii="仿宋" w:hAnsi="仿宋" w:eastAsia="仿宋" w:cs="仿宋"/>
          <w:color w:val="auto"/>
          <w:sz w:val="28"/>
          <w:szCs w:val="28"/>
          <w:highlight w:val="none"/>
          <w:u w:val="none"/>
        </w:rPr>
        <w:t>，法院和管理人不承担任何责任</w:t>
      </w:r>
      <w:r>
        <w:rPr>
          <w:rFonts w:hint="eastAsia" w:ascii="仿宋" w:hAnsi="仿宋" w:eastAsia="仿宋" w:cs="仿宋"/>
          <w:color w:val="auto"/>
          <w:sz w:val="28"/>
          <w:szCs w:val="28"/>
          <w:highlight w:val="none"/>
          <w:u w:val="none"/>
          <w:lang w:eastAsia="zh-CN"/>
        </w:rPr>
        <w:t>。</w:t>
      </w:r>
    </w:p>
    <w:p w14:paraId="502A08F2">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w:t>
      </w:r>
      <w:r>
        <w:rPr>
          <w:rFonts w:hint="eastAsia" w:ascii="仿宋" w:hAnsi="仿宋" w:eastAsia="仿宋" w:cs="仿宋"/>
          <w:color w:val="auto"/>
          <w:sz w:val="28"/>
          <w:szCs w:val="28"/>
          <w:highlight w:val="none"/>
          <w:u w:val="none"/>
          <w:lang w:val="en-US" w:eastAsia="zh-CN"/>
        </w:rPr>
        <w:t>八</w:t>
      </w:r>
      <w:r>
        <w:rPr>
          <w:rFonts w:hint="eastAsia" w:ascii="仿宋" w:hAnsi="仿宋" w:eastAsia="仿宋" w:cs="仿宋"/>
          <w:color w:val="auto"/>
          <w:sz w:val="28"/>
          <w:szCs w:val="28"/>
          <w:highlight w:val="none"/>
          <w:u w:val="none"/>
        </w:rPr>
        <w:t>）因标的物本身价值较高，起拍价、保证金、竞价成交数额较大。为避免在在线支付的过程中，因银行限额而导致无法支付的问题，请根据</w:t>
      </w:r>
      <w:r>
        <w:rPr>
          <w:rFonts w:hint="eastAsia" w:ascii="仿宋" w:hAnsi="仿宋" w:eastAsia="仿宋" w:cs="仿宋"/>
          <w:color w:val="auto"/>
          <w:sz w:val="28"/>
          <w:szCs w:val="28"/>
          <w:highlight w:val="none"/>
          <w:u w:val="none"/>
          <w:lang w:val="en-US" w:eastAsia="zh-CN"/>
        </w:rPr>
        <w:t>拍卖公告、拍卖</w:t>
      </w:r>
      <w:r>
        <w:rPr>
          <w:rFonts w:hint="eastAsia" w:ascii="仿宋" w:hAnsi="仿宋" w:eastAsia="仿宋" w:cs="仿宋"/>
          <w:color w:val="auto"/>
          <w:sz w:val="28"/>
          <w:szCs w:val="28"/>
          <w:highlight w:val="none"/>
          <w:u w:val="none"/>
        </w:rPr>
        <w:t>须知</w:t>
      </w:r>
      <w:r>
        <w:rPr>
          <w:rFonts w:hint="eastAsia" w:ascii="仿宋" w:hAnsi="仿宋" w:eastAsia="仿宋" w:cs="仿宋"/>
          <w:color w:val="auto"/>
          <w:sz w:val="28"/>
          <w:szCs w:val="28"/>
          <w:highlight w:val="none"/>
          <w:u w:val="none"/>
          <w:lang w:val="en-US" w:eastAsia="zh-CN"/>
        </w:rPr>
        <w:t>等</w:t>
      </w:r>
      <w:r>
        <w:rPr>
          <w:rFonts w:hint="eastAsia" w:ascii="仿宋" w:hAnsi="仿宋" w:eastAsia="仿宋" w:cs="仿宋"/>
          <w:color w:val="auto"/>
          <w:sz w:val="28"/>
          <w:szCs w:val="28"/>
          <w:highlight w:val="none"/>
          <w:u w:val="none"/>
        </w:rPr>
        <w:t>相关规定进行充分准备。</w:t>
      </w:r>
    </w:p>
    <w:p w14:paraId="7D40F520">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九、本次网上公开竞价</w:t>
      </w:r>
      <w:r>
        <w:rPr>
          <w:rFonts w:hint="eastAsia" w:ascii="仿宋" w:hAnsi="仿宋" w:eastAsia="仿宋" w:cs="仿宋"/>
          <w:color w:val="auto"/>
          <w:sz w:val="28"/>
          <w:szCs w:val="28"/>
          <w:highlight w:val="none"/>
          <w:u w:val="none"/>
          <w:lang w:val="en-US" w:eastAsia="zh-CN"/>
        </w:rPr>
        <w:t>拍卖</w:t>
      </w:r>
      <w:r>
        <w:rPr>
          <w:rFonts w:hint="eastAsia" w:ascii="仿宋" w:hAnsi="仿宋" w:eastAsia="仿宋" w:cs="仿宋"/>
          <w:color w:val="auto"/>
          <w:sz w:val="28"/>
          <w:szCs w:val="28"/>
          <w:highlight w:val="none"/>
          <w:u w:val="none"/>
        </w:rPr>
        <w:t>公告、</w:t>
      </w:r>
      <w:r>
        <w:rPr>
          <w:rFonts w:hint="eastAsia" w:ascii="仿宋" w:hAnsi="仿宋" w:eastAsia="仿宋" w:cs="仿宋"/>
          <w:color w:val="auto"/>
          <w:sz w:val="28"/>
          <w:szCs w:val="28"/>
          <w:highlight w:val="none"/>
          <w:u w:val="none"/>
          <w:lang w:val="en-US" w:eastAsia="zh-CN"/>
        </w:rPr>
        <w:t>拍卖</w:t>
      </w:r>
      <w:r>
        <w:rPr>
          <w:rFonts w:hint="eastAsia" w:ascii="仿宋" w:hAnsi="仿宋" w:eastAsia="仿宋" w:cs="仿宋"/>
          <w:color w:val="auto"/>
          <w:sz w:val="28"/>
          <w:szCs w:val="28"/>
          <w:highlight w:val="none"/>
          <w:u w:val="none"/>
        </w:rPr>
        <w:t>须知、标的物介绍等标的物相关文件已在京东网络竞价平台公开展示，请仔细阅读。</w:t>
      </w:r>
      <w:r>
        <w:rPr>
          <w:rFonts w:hint="eastAsia" w:ascii="仿宋" w:hAnsi="仿宋" w:eastAsia="仿宋" w:cs="仿宋"/>
          <w:color w:val="auto"/>
          <w:sz w:val="28"/>
          <w:szCs w:val="28"/>
          <w:highlight w:val="none"/>
          <w:u w:val="none"/>
          <w:lang w:val="en-US" w:eastAsia="zh-CN"/>
        </w:rPr>
        <w:t>管理人、</w:t>
      </w:r>
      <w:r>
        <w:rPr>
          <w:rFonts w:hint="eastAsia" w:ascii="仿宋" w:hAnsi="仿宋" w:eastAsia="仿宋" w:cs="仿宋"/>
          <w:color w:val="auto"/>
          <w:sz w:val="28"/>
          <w:szCs w:val="28"/>
          <w:highlight w:val="none"/>
          <w:u w:val="none"/>
        </w:rPr>
        <w:t>上拍机构已就前述相关标的物相关文件的所有条款向竞买人告知并做出详细说明，竞买人知悉并同意接受前述文件的全部条款和内容，竞买人和资产处置方双方不存在任何歧异和误认，竞买人承诺不再对前述文件的条款提出任何异议。</w:t>
      </w:r>
    </w:p>
    <w:p w14:paraId="07D36D70">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十、竞买人在竞价前请务必仔细阅读相应标的公告、须知、标的详情。</w:t>
      </w:r>
      <w:r>
        <w:rPr>
          <w:rFonts w:hint="eastAsia" w:ascii="仿宋" w:hAnsi="仿宋" w:eastAsia="仿宋" w:cs="仿宋"/>
          <w:color w:val="auto"/>
          <w:sz w:val="28"/>
          <w:szCs w:val="28"/>
          <w:highlight w:val="none"/>
          <w:u w:val="none"/>
          <w:lang w:val="en-US" w:eastAsia="zh-CN"/>
        </w:rPr>
        <w:t>成交后法院要求或管理人需要签署书面的转让合同的，拍卖公告、拍卖须知等文件阐述的原则、风险提示、注意事项和具体内容均作为合同主要内容，合同有关条款不得与拍卖公告、拍卖须知等文件相冲突，如有冲突，合同该条款无效。</w:t>
      </w:r>
      <w:r>
        <w:rPr>
          <w:rFonts w:hint="eastAsia" w:ascii="仿宋" w:hAnsi="仿宋" w:eastAsia="仿宋" w:cs="仿宋"/>
          <w:color w:val="auto"/>
          <w:sz w:val="28"/>
          <w:szCs w:val="28"/>
          <w:highlight w:val="none"/>
          <w:u w:val="none"/>
        </w:rPr>
        <w:t>本公告其他未尽事宜，请向管理人咨询。</w:t>
      </w:r>
      <w:r>
        <w:rPr>
          <w:rFonts w:hint="eastAsia" w:ascii="仿宋" w:hAnsi="仿宋" w:eastAsia="仿宋" w:cs="仿宋"/>
          <w:color w:val="auto"/>
          <w:sz w:val="28"/>
          <w:szCs w:val="28"/>
          <w:highlight w:val="none"/>
          <w:u w:val="none"/>
        </w:rPr>
        <w:br w:type="textWrapping"/>
      </w:r>
      <w:r>
        <w:rPr>
          <w:rFonts w:hint="eastAsia" w:ascii="仿宋" w:hAnsi="仿宋" w:eastAsia="仿宋" w:cs="仿宋"/>
          <w:color w:val="auto"/>
          <w:sz w:val="28"/>
          <w:szCs w:val="28"/>
          <w:highlight w:val="none"/>
          <w:u w:val="none"/>
        </w:rPr>
        <w:t xml:space="preserve">    咨询电话：</w:t>
      </w:r>
      <w:r>
        <w:rPr>
          <w:rFonts w:hint="eastAsia" w:ascii="仿宋" w:hAnsi="仿宋" w:eastAsia="仿宋" w:cs="仿宋"/>
          <w:color w:val="auto"/>
          <w:sz w:val="28"/>
          <w:szCs w:val="28"/>
          <w:highlight w:val="none"/>
          <w:u w:val="none"/>
          <w:lang w:val="en-US" w:eastAsia="zh-CN"/>
        </w:rPr>
        <w:t>15668292568</w:t>
      </w:r>
      <w:r>
        <w:rPr>
          <w:rStyle w:val="7"/>
          <w:rFonts w:hint="eastAsia" w:ascii="仿宋" w:hAnsi="仿宋" w:eastAsia="仿宋" w:cs="仿宋"/>
          <w:color w:val="auto"/>
          <w:sz w:val="28"/>
          <w:szCs w:val="28"/>
          <w:highlight w:val="none"/>
          <w:u w:val="none"/>
        </w:rPr>
        <w:t>，</w:t>
      </w:r>
      <w:r>
        <w:rPr>
          <w:rFonts w:hint="eastAsia" w:ascii="仿宋" w:hAnsi="仿宋" w:eastAsia="仿宋" w:cs="仿宋"/>
          <w:color w:val="auto"/>
          <w:sz w:val="28"/>
          <w:szCs w:val="28"/>
          <w:highlight w:val="none"/>
          <w:u w:val="none"/>
        </w:rPr>
        <w:t>联系地址：山东省菏泽市曹县富民大道新都帝景花园小区25号楼3单元306室</w:t>
      </w:r>
      <w:r>
        <w:rPr>
          <w:rFonts w:hint="eastAsia" w:ascii="仿宋" w:hAnsi="仿宋" w:eastAsia="仿宋" w:cs="仿宋"/>
          <w:color w:val="auto"/>
          <w:sz w:val="28"/>
          <w:szCs w:val="28"/>
          <w:highlight w:val="none"/>
          <w:u w:val="none"/>
          <w:lang w:eastAsia="zh-CN"/>
        </w:rPr>
        <w:t>。</w:t>
      </w:r>
    </w:p>
    <w:p w14:paraId="3CAD4328">
      <w:pPr>
        <w:pStyle w:val="4"/>
        <w:shd w:val="clear" w:color="auto" w:fill="FFFFFF"/>
        <w:spacing w:before="0" w:beforeAutospacing="0" w:after="0" w:afterAutospacing="0" w:line="450" w:lineRule="atLeast"/>
        <w:ind w:firstLine="560" w:firstLine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凡发现竞价中有违规行为，可如实举报。</w:t>
      </w:r>
      <w:r>
        <w:rPr>
          <w:rFonts w:hint="eastAsia" w:ascii="仿宋" w:hAnsi="仿宋" w:eastAsia="仿宋" w:cs="仿宋"/>
          <w:color w:val="auto"/>
          <w:sz w:val="28"/>
          <w:szCs w:val="28"/>
          <w:highlight w:val="none"/>
          <w:u w:val="none"/>
        </w:rPr>
        <w:br w:type="textWrapping"/>
      </w:r>
      <w:r>
        <w:rPr>
          <w:rFonts w:hint="eastAsia" w:ascii="仿宋" w:hAnsi="仿宋" w:eastAsia="仿宋" w:cs="仿宋"/>
          <w:color w:val="auto"/>
          <w:sz w:val="28"/>
          <w:szCs w:val="28"/>
          <w:highlight w:val="none"/>
          <w:u w:val="none"/>
        </w:rPr>
        <w:t xml:space="preserve">    举报监督电话：</w:t>
      </w:r>
      <w:r>
        <w:rPr>
          <w:rFonts w:hint="eastAsia" w:ascii="仿宋" w:hAnsi="仿宋" w:eastAsia="仿宋" w:cs="仿宋"/>
          <w:color w:val="auto"/>
          <w:sz w:val="28"/>
          <w:szCs w:val="28"/>
          <w:highlight w:val="none"/>
          <w:u w:val="none"/>
          <w:lang w:val="en-US" w:eastAsia="zh-CN"/>
        </w:rPr>
        <w:t>0530-5321107，菏泽市中级人民法院破产合议庭</w:t>
      </w:r>
      <w:r>
        <w:rPr>
          <w:rFonts w:hint="eastAsia" w:ascii="仿宋" w:hAnsi="仿宋" w:eastAsia="仿宋" w:cs="仿宋"/>
          <w:color w:val="auto"/>
          <w:sz w:val="28"/>
          <w:szCs w:val="28"/>
          <w:highlight w:val="none"/>
          <w:u w:val="none"/>
        </w:rPr>
        <w:t xml:space="preserve"> </w:t>
      </w:r>
    </w:p>
    <w:p w14:paraId="00BA31D3">
      <w:pPr>
        <w:pStyle w:val="4"/>
        <w:shd w:val="clear" w:color="auto" w:fill="FFFFFF"/>
        <w:spacing w:before="0" w:beforeAutospacing="0" w:after="0" w:afterAutospacing="0" w:line="450" w:lineRule="atLeast"/>
        <w:ind w:left="420" w:leftChars="200"/>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rPr>
        <w:t>京东技术咨询电话：4006229586</w:t>
      </w:r>
      <w:r>
        <w:rPr>
          <w:rFonts w:hint="eastAsia" w:ascii="仿宋" w:hAnsi="仿宋" w:eastAsia="仿宋" w:cs="仿宋"/>
          <w:color w:val="auto"/>
          <w:sz w:val="28"/>
          <w:szCs w:val="28"/>
          <w:highlight w:val="none"/>
          <w:u w:val="none"/>
        </w:rPr>
        <w:br w:type="textWrapping"/>
      </w:r>
      <w:r>
        <w:rPr>
          <w:rFonts w:hint="eastAsia" w:ascii="仿宋" w:hAnsi="仿宋" w:eastAsia="仿宋" w:cs="仿宋"/>
          <w:color w:val="auto"/>
          <w:sz w:val="28"/>
          <w:szCs w:val="28"/>
          <w:highlight w:val="none"/>
          <w:u w:val="none"/>
        </w:rPr>
        <w:t>此公告在“京东网”上发布，网址: https://auction.jd.com/bankrupt.html。</w:t>
      </w:r>
    </w:p>
    <w:p w14:paraId="0393C8ED">
      <w:pPr>
        <w:pStyle w:val="4"/>
        <w:shd w:val="clear" w:color="auto" w:fill="FFFFFF"/>
        <w:spacing w:before="0" w:beforeAutospacing="0" w:after="0" w:afterAutospacing="0" w:line="450" w:lineRule="atLeast"/>
        <w:jc w:val="right"/>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u w:val="none"/>
          <w:lang w:val="en-US" w:eastAsia="zh-CN"/>
        </w:rPr>
        <w:t>菏泽津源节能保温材料有限公司管理人</w:t>
      </w:r>
      <w:r>
        <w:rPr>
          <w:rFonts w:hint="eastAsia" w:ascii="仿宋" w:hAnsi="仿宋" w:eastAsia="仿宋" w:cs="仿宋"/>
          <w:color w:val="auto"/>
          <w:sz w:val="28"/>
          <w:szCs w:val="28"/>
          <w:highlight w:val="none"/>
          <w:u w:val="none"/>
        </w:rPr>
        <w:t xml:space="preserve"> </w:t>
      </w:r>
    </w:p>
    <w:p w14:paraId="174DA614">
      <w:pPr>
        <w:pStyle w:val="4"/>
        <w:shd w:val="clear" w:color="auto" w:fill="FFFFFF"/>
        <w:spacing w:before="0" w:beforeAutospacing="0" w:after="0" w:afterAutospacing="0" w:line="450" w:lineRule="atLeast"/>
        <w:jc w:val="center"/>
        <w:rPr>
          <w:rFonts w:ascii="宋体" w:hAnsi="宋体" w:eastAsia="宋体"/>
          <w:color w:val="auto"/>
          <w:sz w:val="28"/>
          <w:szCs w:val="28"/>
          <w:highlight w:val="none"/>
          <w:u w:val="none"/>
        </w:rPr>
      </w:pPr>
      <w:r>
        <w:rPr>
          <w:rFonts w:hint="eastAsia" w:ascii="仿宋" w:hAnsi="仿宋" w:eastAsia="仿宋" w:cs="仿宋"/>
          <w:color w:val="auto"/>
          <w:sz w:val="28"/>
          <w:szCs w:val="28"/>
          <w:highlight w:val="none"/>
          <w:u w:val="none"/>
          <w:lang w:val="en-US" w:eastAsia="zh-CN"/>
        </w:rPr>
        <w:t xml:space="preserve">                        </w:t>
      </w:r>
      <w:r>
        <w:rPr>
          <w:rFonts w:hint="eastAsia" w:ascii="仿宋" w:hAnsi="仿宋" w:eastAsia="仿宋" w:cs="仿宋"/>
          <w:color w:val="auto"/>
          <w:sz w:val="28"/>
          <w:szCs w:val="28"/>
          <w:highlight w:val="none"/>
          <w:u w:val="none"/>
        </w:rPr>
        <w:t>二〇</w:t>
      </w:r>
      <w:r>
        <w:rPr>
          <w:rFonts w:hint="eastAsia" w:ascii="仿宋" w:hAnsi="仿宋" w:eastAsia="仿宋" w:cs="仿宋"/>
          <w:color w:val="auto"/>
          <w:sz w:val="28"/>
          <w:szCs w:val="28"/>
          <w:highlight w:val="none"/>
          <w:u w:val="none"/>
          <w:lang w:val="en-US" w:eastAsia="zh-CN"/>
        </w:rPr>
        <w:t>二六</w:t>
      </w:r>
      <w:r>
        <w:rPr>
          <w:rFonts w:hint="eastAsia" w:ascii="仿宋" w:hAnsi="仿宋" w:eastAsia="仿宋" w:cs="仿宋"/>
          <w:color w:val="auto"/>
          <w:sz w:val="28"/>
          <w:szCs w:val="28"/>
          <w:highlight w:val="none"/>
          <w:u w:val="none"/>
        </w:rPr>
        <w:t>年</w:t>
      </w:r>
      <w:r>
        <w:rPr>
          <w:rFonts w:hint="eastAsia" w:ascii="仿宋" w:hAnsi="仿宋" w:eastAsia="仿宋" w:cs="仿宋"/>
          <w:color w:val="auto"/>
          <w:sz w:val="28"/>
          <w:szCs w:val="28"/>
          <w:highlight w:val="none"/>
          <w:u w:val="none"/>
          <w:lang w:val="en-US" w:eastAsia="zh-CN"/>
        </w:rPr>
        <w:t>九</w:t>
      </w:r>
      <w:r>
        <w:rPr>
          <w:rFonts w:hint="eastAsia" w:ascii="仿宋" w:hAnsi="仿宋" w:eastAsia="仿宋" w:cs="仿宋"/>
          <w:color w:val="auto"/>
          <w:sz w:val="28"/>
          <w:szCs w:val="28"/>
          <w:highlight w:val="none"/>
          <w:u w:val="none"/>
        </w:rPr>
        <w:t>月</w:t>
      </w:r>
      <w:r>
        <w:rPr>
          <w:rFonts w:hint="eastAsia" w:ascii="仿宋" w:hAnsi="仿宋" w:eastAsia="仿宋" w:cs="仿宋"/>
          <w:color w:val="auto"/>
          <w:sz w:val="28"/>
          <w:szCs w:val="28"/>
          <w:highlight w:val="none"/>
          <w:u w:val="none"/>
          <w:lang w:val="en-US" w:eastAsia="zh-CN"/>
        </w:rPr>
        <w:t>四</w:t>
      </w:r>
      <w:r>
        <w:rPr>
          <w:rFonts w:hint="eastAsia" w:ascii="仿宋" w:hAnsi="仿宋" w:eastAsia="仿宋" w:cs="仿宋"/>
          <w:color w:val="auto"/>
          <w:sz w:val="28"/>
          <w:szCs w:val="28"/>
          <w:highlight w:val="none"/>
          <w:u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2BB8D9"/>
    <w:multiLevelType w:val="singleLevel"/>
    <w:tmpl w:val="992BB8D9"/>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I5N2FkOTk1MGNiYjM5OWUyMmY3MmI1Njc5ZDVmMzMifQ=="/>
  </w:docVars>
  <w:rsids>
    <w:rsidRoot w:val="006D5E3F"/>
    <w:rsid w:val="00011FA8"/>
    <w:rsid w:val="000371E1"/>
    <w:rsid w:val="000E79F1"/>
    <w:rsid w:val="0011225E"/>
    <w:rsid w:val="001376E8"/>
    <w:rsid w:val="00162793"/>
    <w:rsid w:val="0019656B"/>
    <w:rsid w:val="001C20EB"/>
    <w:rsid w:val="001E3665"/>
    <w:rsid w:val="001F3DFA"/>
    <w:rsid w:val="00272019"/>
    <w:rsid w:val="002C0BD9"/>
    <w:rsid w:val="002D4291"/>
    <w:rsid w:val="00345D5B"/>
    <w:rsid w:val="00393C05"/>
    <w:rsid w:val="003E29F9"/>
    <w:rsid w:val="0042152D"/>
    <w:rsid w:val="00476CBF"/>
    <w:rsid w:val="00490FF2"/>
    <w:rsid w:val="004C0ECA"/>
    <w:rsid w:val="00501C99"/>
    <w:rsid w:val="005315AC"/>
    <w:rsid w:val="0054753A"/>
    <w:rsid w:val="00551517"/>
    <w:rsid w:val="00562140"/>
    <w:rsid w:val="005A2D35"/>
    <w:rsid w:val="006445AC"/>
    <w:rsid w:val="006624BD"/>
    <w:rsid w:val="006A745F"/>
    <w:rsid w:val="006D5E3F"/>
    <w:rsid w:val="00710F89"/>
    <w:rsid w:val="007203F3"/>
    <w:rsid w:val="00725A85"/>
    <w:rsid w:val="00735CF7"/>
    <w:rsid w:val="00793C8F"/>
    <w:rsid w:val="00793DA8"/>
    <w:rsid w:val="007C4B56"/>
    <w:rsid w:val="00805878"/>
    <w:rsid w:val="008C4EC5"/>
    <w:rsid w:val="009006EE"/>
    <w:rsid w:val="00916EB4"/>
    <w:rsid w:val="00927E8E"/>
    <w:rsid w:val="00955D67"/>
    <w:rsid w:val="009853E6"/>
    <w:rsid w:val="00994914"/>
    <w:rsid w:val="00A36AA5"/>
    <w:rsid w:val="00A4031C"/>
    <w:rsid w:val="00A56CF8"/>
    <w:rsid w:val="00AC00FE"/>
    <w:rsid w:val="00AC5AD2"/>
    <w:rsid w:val="00AF172F"/>
    <w:rsid w:val="00B2133F"/>
    <w:rsid w:val="00B33C7C"/>
    <w:rsid w:val="00B760F1"/>
    <w:rsid w:val="00BE1BB8"/>
    <w:rsid w:val="00C006DA"/>
    <w:rsid w:val="00C16DCE"/>
    <w:rsid w:val="00CA4C4A"/>
    <w:rsid w:val="00CE51E5"/>
    <w:rsid w:val="00D034FD"/>
    <w:rsid w:val="00D36061"/>
    <w:rsid w:val="00D57ABC"/>
    <w:rsid w:val="00DC6E7B"/>
    <w:rsid w:val="00E06B66"/>
    <w:rsid w:val="00E122AD"/>
    <w:rsid w:val="00E94C03"/>
    <w:rsid w:val="00EA42C6"/>
    <w:rsid w:val="00EE7CEE"/>
    <w:rsid w:val="00F14908"/>
    <w:rsid w:val="00F464DC"/>
    <w:rsid w:val="00F944AE"/>
    <w:rsid w:val="00FB7F05"/>
    <w:rsid w:val="023F12CA"/>
    <w:rsid w:val="02F24506"/>
    <w:rsid w:val="0673298D"/>
    <w:rsid w:val="070954C9"/>
    <w:rsid w:val="07324BC3"/>
    <w:rsid w:val="09893B08"/>
    <w:rsid w:val="0A0D64C4"/>
    <w:rsid w:val="0A2B3A64"/>
    <w:rsid w:val="0ADC353C"/>
    <w:rsid w:val="0B706C26"/>
    <w:rsid w:val="0BED10FC"/>
    <w:rsid w:val="0C4B5590"/>
    <w:rsid w:val="0D137EF4"/>
    <w:rsid w:val="0D7C0685"/>
    <w:rsid w:val="0E39045D"/>
    <w:rsid w:val="0F137353"/>
    <w:rsid w:val="0FE91DC0"/>
    <w:rsid w:val="10B33D59"/>
    <w:rsid w:val="10B504E1"/>
    <w:rsid w:val="119531B6"/>
    <w:rsid w:val="11B04EDA"/>
    <w:rsid w:val="12791396"/>
    <w:rsid w:val="1288596D"/>
    <w:rsid w:val="1380268A"/>
    <w:rsid w:val="14464D13"/>
    <w:rsid w:val="148F1994"/>
    <w:rsid w:val="15083FC7"/>
    <w:rsid w:val="151D21BB"/>
    <w:rsid w:val="15D363DA"/>
    <w:rsid w:val="15E062D0"/>
    <w:rsid w:val="160775B0"/>
    <w:rsid w:val="166D752F"/>
    <w:rsid w:val="169F548D"/>
    <w:rsid w:val="17541EFB"/>
    <w:rsid w:val="17D005CA"/>
    <w:rsid w:val="193B1A91"/>
    <w:rsid w:val="19ED0705"/>
    <w:rsid w:val="1A304E93"/>
    <w:rsid w:val="1A6A7BF0"/>
    <w:rsid w:val="1AB75C63"/>
    <w:rsid w:val="1AC752EA"/>
    <w:rsid w:val="1CE913FB"/>
    <w:rsid w:val="1DBC7663"/>
    <w:rsid w:val="1DE008F5"/>
    <w:rsid w:val="1E0C3ADC"/>
    <w:rsid w:val="1E4171E4"/>
    <w:rsid w:val="1EB73DC9"/>
    <w:rsid w:val="1F523DF3"/>
    <w:rsid w:val="21274A8D"/>
    <w:rsid w:val="21464FBC"/>
    <w:rsid w:val="214C0DF8"/>
    <w:rsid w:val="22262EA4"/>
    <w:rsid w:val="22A6397D"/>
    <w:rsid w:val="23F76998"/>
    <w:rsid w:val="2409047A"/>
    <w:rsid w:val="24E56C98"/>
    <w:rsid w:val="259478A4"/>
    <w:rsid w:val="27245147"/>
    <w:rsid w:val="28092E4E"/>
    <w:rsid w:val="282D6B0D"/>
    <w:rsid w:val="2A196F6E"/>
    <w:rsid w:val="2AB53BA0"/>
    <w:rsid w:val="2B8353B9"/>
    <w:rsid w:val="2D816D12"/>
    <w:rsid w:val="2D947976"/>
    <w:rsid w:val="31005B52"/>
    <w:rsid w:val="31055941"/>
    <w:rsid w:val="33477738"/>
    <w:rsid w:val="36D30B9F"/>
    <w:rsid w:val="37036B92"/>
    <w:rsid w:val="380536DA"/>
    <w:rsid w:val="3878035D"/>
    <w:rsid w:val="38996A65"/>
    <w:rsid w:val="38D92593"/>
    <w:rsid w:val="390F4A72"/>
    <w:rsid w:val="3AD53316"/>
    <w:rsid w:val="3B383176"/>
    <w:rsid w:val="3B8F3312"/>
    <w:rsid w:val="3BCA6834"/>
    <w:rsid w:val="3C2351B6"/>
    <w:rsid w:val="3D1B0CDA"/>
    <w:rsid w:val="3DD86C2E"/>
    <w:rsid w:val="3ED1565E"/>
    <w:rsid w:val="3EDB446B"/>
    <w:rsid w:val="3EE84042"/>
    <w:rsid w:val="3F181D11"/>
    <w:rsid w:val="3FD67472"/>
    <w:rsid w:val="403E3122"/>
    <w:rsid w:val="40E40802"/>
    <w:rsid w:val="412B54DB"/>
    <w:rsid w:val="424C4CDD"/>
    <w:rsid w:val="42AB3FE2"/>
    <w:rsid w:val="42DD6EBF"/>
    <w:rsid w:val="433F5964"/>
    <w:rsid w:val="44A64897"/>
    <w:rsid w:val="45103B6A"/>
    <w:rsid w:val="457E43A1"/>
    <w:rsid w:val="458E2338"/>
    <w:rsid w:val="46AC475E"/>
    <w:rsid w:val="479F2F7D"/>
    <w:rsid w:val="47CB5A57"/>
    <w:rsid w:val="47D209FF"/>
    <w:rsid w:val="49CC6C52"/>
    <w:rsid w:val="4A256B30"/>
    <w:rsid w:val="4B1410C5"/>
    <w:rsid w:val="4B392ECD"/>
    <w:rsid w:val="4C58104F"/>
    <w:rsid w:val="4D6543DF"/>
    <w:rsid w:val="4E972F59"/>
    <w:rsid w:val="4FC40A25"/>
    <w:rsid w:val="50594CB7"/>
    <w:rsid w:val="51AA176D"/>
    <w:rsid w:val="51B77E02"/>
    <w:rsid w:val="52552958"/>
    <w:rsid w:val="52F543A6"/>
    <w:rsid w:val="532E5EB7"/>
    <w:rsid w:val="547131BB"/>
    <w:rsid w:val="557822F3"/>
    <w:rsid w:val="565F203F"/>
    <w:rsid w:val="57296B59"/>
    <w:rsid w:val="5B5A7DDD"/>
    <w:rsid w:val="5BC638F4"/>
    <w:rsid w:val="5BF61026"/>
    <w:rsid w:val="5C5C6C96"/>
    <w:rsid w:val="5D13109B"/>
    <w:rsid w:val="5E2A6448"/>
    <w:rsid w:val="5E857990"/>
    <w:rsid w:val="5F0E26DC"/>
    <w:rsid w:val="5F754FFE"/>
    <w:rsid w:val="5FA507C8"/>
    <w:rsid w:val="60451DC7"/>
    <w:rsid w:val="60D97A72"/>
    <w:rsid w:val="615E6B6F"/>
    <w:rsid w:val="61CF0031"/>
    <w:rsid w:val="6390563C"/>
    <w:rsid w:val="63DC5EB7"/>
    <w:rsid w:val="63EA0811"/>
    <w:rsid w:val="66030CEB"/>
    <w:rsid w:val="660B02F6"/>
    <w:rsid w:val="68BA1CF8"/>
    <w:rsid w:val="691A127E"/>
    <w:rsid w:val="691B22C6"/>
    <w:rsid w:val="6B8C3AD2"/>
    <w:rsid w:val="6D2E262D"/>
    <w:rsid w:val="6D506055"/>
    <w:rsid w:val="6E203A6D"/>
    <w:rsid w:val="6EBC7D11"/>
    <w:rsid w:val="6EF21014"/>
    <w:rsid w:val="6F150E8D"/>
    <w:rsid w:val="6FBB39A3"/>
    <w:rsid w:val="6FE65871"/>
    <w:rsid w:val="70424902"/>
    <w:rsid w:val="733837F2"/>
    <w:rsid w:val="73477776"/>
    <w:rsid w:val="73E977CD"/>
    <w:rsid w:val="74037A08"/>
    <w:rsid w:val="744D40BF"/>
    <w:rsid w:val="74640AAD"/>
    <w:rsid w:val="74FE3512"/>
    <w:rsid w:val="76A209B0"/>
    <w:rsid w:val="770E38D4"/>
    <w:rsid w:val="778B3ACA"/>
    <w:rsid w:val="78076DE7"/>
    <w:rsid w:val="7844395F"/>
    <w:rsid w:val="787E3DF6"/>
    <w:rsid w:val="789B1569"/>
    <w:rsid w:val="78CD162F"/>
    <w:rsid w:val="7A654EF6"/>
    <w:rsid w:val="7AE84B13"/>
    <w:rsid w:val="7AF66D53"/>
    <w:rsid w:val="7B4E2F63"/>
    <w:rsid w:val="7B52062A"/>
    <w:rsid w:val="7CB26B3F"/>
    <w:rsid w:val="7CBF7E75"/>
    <w:rsid w:val="7CDB4264"/>
    <w:rsid w:val="7EDC1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autoRedefine/>
    <w:unhideWhenUsed/>
    <w:qFormat/>
    <w:uiPriority w:val="99"/>
    <w:pPr>
      <w:tabs>
        <w:tab w:val="center" w:pos="4153"/>
        <w:tab w:val="right" w:pos="8306"/>
      </w:tabs>
      <w:snapToGrid w:val="0"/>
      <w:jc w:val="left"/>
    </w:pPr>
    <w:rPr>
      <w:sz w:val="18"/>
      <w:szCs w:val="18"/>
    </w:rPr>
  </w:style>
  <w:style w:type="paragraph" w:styleId="3">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7">
    <w:name w:val="apple-converted-space"/>
    <w:basedOn w:val="6"/>
    <w:autoRedefine/>
    <w:qFormat/>
    <w:uiPriority w:val="0"/>
  </w:style>
  <w:style w:type="character" w:customStyle="1" w:styleId="8">
    <w:name w:val="页眉 字符"/>
    <w:basedOn w:val="6"/>
    <w:link w:val="3"/>
    <w:autoRedefine/>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576</Words>
  <Characters>656</Characters>
  <Lines>19</Lines>
  <Paragraphs>5</Paragraphs>
  <TotalTime>37</TotalTime>
  <ScaleCrop>false</ScaleCrop>
  <LinksUpToDate>false</LinksUpToDate>
  <CharactersWithSpaces>664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2020-10-21T02:12:00Z</dcterms:created>
  <dc:creator>gaochang1</dc:creator>
  <cp:lastModifiedBy>大w</cp:lastModifiedBy>
  <dcterms:modified xsi:type="dcterms:W3CDTF">2026-09-05T03:51:27Z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33F41926C2B7420785B79A9D50D84160_13</vt:lpwstr>
  </property>
  <property fmtid="{D5CDD505-2E9C-101B-9397-08002B2CF9AE}" pid="4" name="KSOTemplateDocerSaveRecord">
    <vt:lpwstr>eyJoZGlkIjoiNWFiMTU4NjAzYjkxOTkwZjliNDg1MjljNDcwN2NlZmUiLCJ1c2VySWQiOiIxOTQwODIxNjYifQ==</vt:lpwstr>
  </property>
</Properties>
</file>