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CE03B8">
      <w:pPr>
        <w:pStyle w:val="4"/>
        <w:pageBreakBefore w:val="0"/>
        <w:widowControl w:val="0"/>
        <w:kinsoku/>
        <w:wordWrap/>
        <w:overflowPunct/>
        <w:topLinePunct w:val="0"/>
        <w:autoSpaceDE/>
        <w:autoSpaceDN/>
        <w:bidi w:val="0"/>
        <w:adjustRightInd/>
        <w:snapToGrid/>
        <w:spacing w:line="540" w:lineRule="exact"/>
        <w:ind w:left="0" w:leftChars="0" w:right="0" w:rightChars="0"/>
        <w:jc w:val="center"/>
        <w:textAlignment w:val="auto"/>
        <w:rPr>
          <w:rFonts w:hint="eastAsia" w:ascii="仿宋_GB2312" w:hAnsi="仿宋_GB2312" w:eastAsia="仿宋_GB2312" w:cs="仿宋_GB2312"/>
          <w:b/>
          <w:bCs/>
          <w:kern w:val="2"/>
          <w:sz w:val="44"/>
          <w:szCs w:val="44"/>
          <w:lang w:val="en-US" w:eastAsia="zh-CN" w:bidi="ar-SA"/>
        </w:rPr>
      </w:pPr>
      <w:r>
        <w:rPr>
          <w:rFonts w:hint="eastAsia" w:ascii="仿宋_GB2312" w:hAnsi="仿宋_GB2312" w:eastAsia="仿宋_GB2312" w:cs="仿宋_GB2312"/>
          <w:b/>
          <w:bCs/>
          <w:kern w:val="2"/>
          <w:sz w:val="44"/>
          <w:szCs w:val="44"/>
          <w:lang w:val="en-US" w:eastAsia="zh-CN" w:bidi="ar-SA"/>
        </w:rPr>
        <w:t>告 知 书</w:t>
      </w:r>
    </w:p>
    <w:p w14:paraId="4D8DC1AE">
      <w:pPr>
        <w:keepNext w:val="0"/>
        <w:keepLines w:val="0"/>
        <w:pageBreakBefore w:val="0"/>
        <w:widowControl w:val="0"/>
        <w:numPr>
          <w:ilvl w:val="0"/>
          <w:numId w:val="1"/>
        </w:numPr>
        <w:kinsoku/>
        <w:wordWrap/>
        <w:overflowPunct/>
        <w:topLinePunct w:val="0"/>
        <w:autoSpaceDE/>
        <w:autoSpaceDN/>
        <w:bidi w:val="0"/>
        <w:adjustRightInd/>
        <w:snapToGrid/>
        <w:spacing w:line="360" w:lineRule="auto"/>
        <w:ind w:right="0" w:rightChars="0"/>
        <w:jc w:val="right"/>
        <w:textAlignment w:val="auto"/>
        <w:outlineLvl w:val="9"/>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林坊农贸破管字第18号</w:t>
      </w:r>
    </w:p>
    <w:p w14:paraId="1E1C380A">
      <w:pPr>
        <w:keepNext w:val="0"/>
        <w:keepLines w:val="0"/>
        <w:pageBreakBefore w:val="0"/>
        <w:widowControl w:val="0"/>
        <w:numPr>
          <w:numId w:val="0"/>
        </w:numPr>
        <w:kinsoku/>
        <w:wordWrap/>
        <w:overflowPunct/>
        <w:topLinePunct w:val="0"/>
        <w:autoSpaceDE/>
        <w:autoSpaceDN/>
        <w:bidi w:val="0"/>
        <w:adjustRightInd/>
        <w:snapToGrid/>
        <w:spacing w:line="360" w:lineRule="auto"/>
        <w:ind w:right="0" w:rightChars="0"/>
        <w:jc w:val="both"/>
        <w:textAlignment w:val="auto"/>
        <w:outlineLvl w:val="9"/>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连城县林坊农贸市场管理服务有限公司及其法定代表人、股东：</w:t>
      </w:r>
    </w:p>
    <w:p w14:paraId="5A48443C">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outlineLvl w:val="9"/>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lang w:eastAsia="zh-CN"/>
        </w:rPr>
        <w:t>2026年6月25日，龙岩市中级人民法院作出（2026）闽08破申113号民事裁定书，裁定受理福建省龙环环境工程有限公司连城分公司对连城县林坊农贸市场管理服务有限公司（以下简称“债务人”或“林坊农贸公司”）的破产清算申请，并于同日作出（2026）闽08破申113号之一民事裁定书，裁定本案交福建省连城县人民法院审理。福建省连城县人民法院于2026年7月15日作出（2026）闽0825破13号决定书，指定福建省京闽清算服务有限公司龙岩分公司担任连城县林坊农贸市场管理服务有限公司管理人（以下简称“管理人”）。</w:t>
      </w:r>
    </w:p>
    <w:p w14:paraId="2CFC1CA9">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outlineLvl w:val="9"/>
        <w:rPr>
          <w:rFonts w:hint="eastAsia" w:ascii="仿宋_GB2312" w:hAnsi="仿宋_GB2312" w:eastAsia="仿宋_GB2312" w:cs="仿宋_GB2312"/>
          <w:color w:val="auto"/>
          <w:sz w:val="28"/>
          <w:szCs w:val="28"/>
          <w:highlight w:val="none"/>
          <w:lang w:val="en-US" w:eastAsia="zh-CN"/>
        </w:rPr>
      </w:pPr>
      <w:r>
        <w:rPr>
          <w:rFonts w:hint="eastAsia" w:ascii="仿宋" w:hAnsi="仿宋" w:eastAsia="仿宋" w:cs="仿宋"/>
          <w:sz w:val="28"/>
          <w:szCs w:val="28"/>
          <w:highlight w:val="none"/>
          <w:lang w:val="en-US" w:eastAsia="zh-CN"/>
        </w:rPr>
        <w:t>截至2026年8月20日，共有5户债权人向管理人申报了9笔债权，申报总金额为3,525,673.44元</w:t>
      </w:r>
      <w:r>
        <w:rPr>
          <w:rFonts w:hint="eastAsia" w:ascii="仿宋_GB2312" w:hAnsi="仿宋_GB2312" w:eastAsia="仿宋_GB2312" w:cs="仿宋_GB2312"/>
          <w:color w:val="auto"/>
          <w:sz w:val="28"/>
          <w:szCs w:val="28"/>
          <w:highlight w:val="none"/>
          <w:lang w:val="en-US" w:eastAsia="zh-CN"/>
        </w:rPr>
        <w:t>。经初步审查，</w:t>
      </w:r>
      <w:r>
        <w:rPr>
          <w:rFonts w:hint="eastAsia" w:ascii="仿宋" w:hAnsi="仿宋" w:eastAsia="仿宋" w:cs="仿宋"/>
          <w:sz w:val="28"/>
          <w:szCs w:val="28"/>
          <w:highlight w:val="none"/>
          <w:lang w:val="en-US" w:eastAsia="zh-CN"/>
        </w:rPr>
        <w:t>管理人全部确认及部分确认的债权为5户9笔，债权金额为3,251,150.46元</w:t>
      </w:r>
      <w:r>
        <w:rPr>
          <w:rFonts w:hint="eastAsia" w:ascii="仿宋_GB2312" w:hAnsi="仿宋_GB2312" w:eastAsia="仿宋_GB2312" w:cs="仿宋_GB2312"/>
          <w:color w:val="auto"/>
          <w:sz w:val="28"/>
          <w:szCs w:val="28"/>
          <w:highlight w:val="none"/>
          <w:lang w:val="en-US" w:eastAsia="zh-CN"/>
        </w:rPr>
        <w:t>。管理人编制了《连城县林坊农贸市场管理服务有限公司债权表》并交第一次债权人会议核查。</w:t>
      </w:r>
    </w:p>
    <w:p w14:paraId="7119A835">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outlineLvl w:val="9"/>
        <w:rPr>
          <w:rFonts w:hint="eastAsia" w:ascii="仿宋_GB2312" w:hAnsi="仿宋_GB2312" w:eastAsia="仿宋_GB2312" w:cs="仿宋_GB2312"/>
          <w:color w:val="auto"/>
          <w:sz w:val="28"/>
          <w:szCs w:val="28"/>
          <w:highlight w:val="none"/>
          <w:lang w:val="en-US" w:eastAsia="zh-Hans"/>
        </w:rPr>
      </w:pPr>
      <w:r>
        <w:rPr>
          <w:rFonts w:hint="eastAsia" w:ascii="仿宋_GB2312" w:hAnsi="仿宋_GB2312" w:eastAsia="仿宋_GB2312" w:cs="仿宋_GB2312"/>
          <w:color w:val="auto"/>
          <w:sz w:val="28"/>
          <w:szCs w:val="28"/>
          <w:highlight w:val="none"/>
          <w:lang w:val="en-US" w:eastAsia="zh-CN"/>
        </w:rPr>
        <w:t>根据《中华人民共和国企业破产法》第五十八条以及相关法律规定，债务人应当对管理人编制的《债权表》进行核对，有异议的应当说明具体理由。故管理人正式告知你，请你务必于收到本《告知书》之日起7日内完成债</w:t>
      </w:r>
      <w:r>
        <w:rPr>
          <w:rFonts w:hint="eastAsia" w:ascii="仿宋_GB2312" w:hAnsi="仿宋_GB2312" w:eastAsia="仿宋_GB2312" w:cs="仿宋_GB2312"/>
          <w:b w:val="0"/>
          <w:bCs w:val="0"/>
          <w:color w:val="auto"/>
          <w:sz w:val="28"/>
          <w:szCs w:val="28"/>
          <w:highlight w:val="none"/>
          <w:lang w:val="en-US" w:eastAsia="zh-CN"/>
        </w:rPr>
        <w:t>权核对，并按要求填写《债务人债权核对表》并</w:t>
      </w:r>
      <w:r>
        <w:rPr>
          <w:rFonts w:hint="eastAsia" w:ascii="仿宋_GB2312" w:hAnsi="仿宋_GB2312" w:eastAsia="仿宋_GB2312" w:cs="仿宋_GB2312"/>
          <w:b w:val="0"/>
          <w:bCs w:val="0"/>
          <w:color w:val="auto"/>
          <w:sz w:val="28"/>
          <w:szCs w:val="28"/>
          <w:highlight w:val="none"/>
          <w:lang w:val="en-US" w:eastAsia="zh-Hans"/>
        </w:rPr>
        <w:t>签字确认后邮寄给管理人</w:t>
      </w:r>
      <w:r>
        <w:rPr>
          <w:rFonts w:hint="eastAsia" w:ascii="仿宋_GB2312" w:hAnsi="仿宋_GB2312" w:eastAsia="仿宋_GB2312" w:cs="仿宋_GB2312"/>
          <w:b/>
          <w:bCs/>
          <w:color w:val="auto"/>
          <w:sz w:val="28"/>
          <w:szCs w:val="28"/>
          <w:highlight w:val="none"/>
          <w:lang w:val="en-US" w:eastAsia="zh-Hans"/>
        </w:rPr>
        <w:t>（管理人联系方式：陈心柔18559709280；高文平13599220685。邮寄地址：福建省龙岩市新罗区西安南路156号莲花大厦402室福建省京闽清算服务有限公司龙岩分公司）</w:t>
      </w:r>
      <w:r>
        <w:rPr>
          <w:rFonts w:hint="eastAsia" w:ascii="仿宋_GB2312" w:hAnsi="仿宋_GB2312" w:eastAsia="仿宋_GB2312" w:cs="仿宋_GB2312"/>
          <w:color w:val="auto"/>
          <w:sz w:val="28"/>
          <w:szCs w:val="28"/>
          <w:highlight w:val="none"/>
          <w:lang w:val="en-US" w:eastAsia="zh-Hans"/>
        </w:rPr>
        <w:t>；逾期未提交的，视为同意管理人的审查意见。</w:t>
      </w:r>
    </w:p>
    <w:p w14:paraId="5B41CC4C">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outlineLvl w:val="9"/>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特此函告。</w:t>
      </w:r>
    </w:p>
    <w:p w14:paraId="45C241C1">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right"/>
        <w:textAlignment w:val="auto"/>
        <w:outlineLvl w:val="9"/>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连城县林坊农贸市场管理服务有限公司管理人</w:t>
      </w:r>
    </w:p>
    <w:p w14:paraId="549E3CF8">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right"/>
        <w:textAlignment w:val="auto"/>
        <w:outlineLvl w:val="9"/>
        <w:rPr>
          <w:rFonts w:hint="eastAsia" w:ascii="仿宋_GB2312" w:hAnsi="仿宋_GB2312" w:eastAsia="仿宋_GB2312" w:cs="仿宋_GB2312"/>
          <w:color w:val="auto"/>
          <w:sz w:val="28"/>
          <w:szCs w:val="28"/>
          <w:highlight w:val="none"/>
          <w:lang w:val="en-US" w:eastAsia="zh-Hans"/>
        </w:rPr>
      </w:pPr>
      <w:r>
        <w:rPr>
          <w:rFonts w:hint="eastAsia" w:ascii="仿宋_GB2312" w:hAnsi="仿宋_GB2312" w:eastAsia="仿宋_GB2312" w:cs="仿宋_GB2312"/>
          <w:color w:val="auto"/>
          <w:sz w:val="28"/>
          <w:szCs w:val="28"/>
          <w:highlight w:val="none"/>
          <w:lang w:val="en-US" w:eastAsia="zh-Hans"/>
        </w:rPr>
        <w:t>二〇</w:t>
      </w:r>
      <w:r>
        <w:rPr>
          <w:rFonts w:hint="eastAsia" w:ascii="仿宋_GB2312" w:hAnsi="仿宋_GB2312" w:eastAsia="仿宋_GB2312" w:cs="仿宋_GB2312"/>
          <w:color w:val="auto"/>
          <w:sz w:val="28"/>
          <w:szCs w:val="28"/>
          <w:highlight w:val="none"/>
          <w:lang w:val="en-US" w:eastAsia="zh-CN"/>
        </w:rPr>
        <w:t>二六</w:t>
      </w:r>
      <w:r>
        <w:rPr>
          <w:rFonts w:hint="eastAsia" w:ascii="仿宋_GB2312" w:hAnsi="仿宋_GB2312" w:eastAsia="仿宋_GB2312" w:cs="仿宋_GB2312"/>
          <w:color w:val="auto"/>
          <w:sz w:val="28"/>
          <w:szCs w:val="28"/>
          <w:highlight w:val="none"/>
          <w:lang w:val="en-US" w:eastAsia="zh-Hans"/>
        </w:rPr>
        <w:t>年</w:t>
      </w:r>
      <w:r>
        <w:rPr>
          <w:rFonts w:hint="eastAsia" w:ascii="仿宋_GB2312" w:hAnsi="仿宋_GB2312" w:eastAsia="仿宋_GB2312" w:cs="仿宋_GB2312"/>
          <w:color w:val="auto"/>
          <w:sz w:val="28"/>
          <w:szCs w:val="28"/>
          <w:highlight w:val="none"/>
          <w:lang w:val="en-US" w:eastAsia="zh-CN"/>
        </w:rPr>
        <w:t>九月三</w:t>
      </w:r>
      <w:r>
        <w:rPr>
          <w:rFonts w:hint="eastAsia" w:ascii="仿宋_GB2312" w:hAnsi="仿宋_GB2312" w:eastAsia="仿宋_GB2312" w:cs="仿宋_GB2312"/>
          <w:color w:val="auto"/>
          <w:sz w:val="28"/>
          <w:szCs w:val="28"/>
          <w:highlight w:val="none"/>
          <w:lang w:val="en-US" w:eastAsia="zh-Hans"/>
        </w:rPr>
        <w:t>日</w:t>
      </w:r>
    </w:p>
    <w:p w14:paraId="005DF692">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outlineLvl w:val="9"/>
        <w:rPr>
          <w:rFonts w:hint="eastAsia" w:ascii="仿宋_GB2312" w:hAnsi="仿宋_GB2312" w:eastAsia="仿宋_GB2312" w:cs="仿宋_GB2312"/>
          <w:color w:val="auto"/>
          <w:sz w:val="28"/>
          <w:szCs w:val="28"/>
          <w:highlight w:val="none"/>
          <w:lang w:val="en-US" w:eastAsia="zh-Hans"/>
        </w:rPr>
      </w:pPr>
      <w:r>
        <w:rPr>
          <w:rFonts w:hint="eastAsia" w:ascii="仿宋_GB2312" w:hAnsi="仿宋_GB2312" w:eastAsia="仿宋_GB2312" w:cs="仿宋_GB2312"/>
          <w:color w:val="auto"/>
          <w:sz w:val="28"/>
          <w:szCs w:val="28"/>
          <w:highlight w:val="none"/>
          <w:lang w:val="en-US" w:eastAsia="zh-Hans"/>
        </w:rPr>
        <w:t>附：</w:t>
      </w:r>
    </w:p>
    <w:p w14:paraId="3F795E9E">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outlineLvl w:val="9"/>
        <w:rPr>
          <w:rFonts w:hint="eastAsia" w:ascii="仿宋_GB2312" w:hAnsi="仿宋_GB2312" w:eastAsia="仿宋_GB2312" w:cs="仿宋_GB2312"/>
          <w:color w:val="auto"/>
          <w:sz w:val="28"/>
          <w:szCs w:val="28"/>
          <w:highlight w:val="none"/>
          <w:lang w:val="en-US" w:eastAsia="zh-Hans"/>
        </w:rPr>
      </w:pPr>
      <w:r>
        <w:rPr>
          <w:rFonts w:hint="eastAsia"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lang w:val="en-US" w:eastAsia="zh-Hans"/>
        </w:rPr>
        <w:t>《</w:t>
      </w:r>
      <w:r>
        <w:rPr>
          <w:rFonts w:hint="eastAsia" w:ascii="仿宋_GB2312" w:hAnsi="仿宋_GB2312" w:eastAsia="仿宋_GB2312" w:cs="仿宋_GB2312"/>
          <w:color w:val="auto"/>
          <w:sz w:val="28"/>
          <w:szCs w:val="28"/>
          <w:highlight w:val="none"/>
          <w:lang w:val="en-US" w:eastAsia="zh-CN"/>
        </w:rPr>
        <w:t>连城县林坊农贸市场管理服务有限公司</w:t>
      </w:r>
      <w:r>
        <w:rPr>
          <w:rFonts w:hint="eastAsia" w:ascii="仿宋_GB2312" w:hAnsi="仿宋_GB2312" w:eastAsia="仿宋_GB2312" w:cs="仿宋_GB2312"/>
          <w:color w:val="auto"/>
          <w:sz w:val="28"/>
          <w:szCs w:val="28"/>
          <w:highlight w:val="none"/>
          <w:lang w:val="en-US" w:eastAsia="zh-Hans"/>
        </w:rPr>
        <w:t>债权表》</w:t>
      </w:r>
    </w:p>
    <w:p w14:paraId="3D5709FE">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outlineLvl w:val="9"/>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w:t>
      </w:r>
      <w:r>
        <w:rPr>
          <w:rFonts w:hint="eastAsia" w:ascii="仿宋_GB2312" w:hAnsi="仿宋_GB2312" w:eastAsia="仿宋_GB2312" w:cs="仿宋_GB2312"/>
          <w:color w:val="auto"/>
          <w:sz w:val="28"/>
          <w:szCs w:val="28"/>
          <w:highlight w:val="none"/>
          <w:lang w:val="en-US" w:eastAsia="zh-Hans"/>
        </w:rPr>
        <w:t>《债务人债权核对表》</w:t>
      </w:r>
    </w:p>
    <w:p w14:paraId="790AFF8F">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outlineLvl w:val="9"/>
        <w:rPr>
          <w:rFonts w:hint="eastAsia" w:ascii="仿宋_GB2312" w:hAnsi="仿宋_GB2312" w:eastAsia="仿宋_GB2312" w:cs="仿宋_GB2312"/>
          <w:color w:val="auto"/>
          <w:sz w:val="28"/>
          <w:szCs w:val="28"/>
          <w:highlight w:val="none"/>
          <w:lang w:val="en-US" w:eastAsia="zh-Hans"/>
        </w:rPr>
        <w:sectPr>
          <w:headerReference r:id="rId3" w:type="default"/>
          <w:pgSz w:w="11906" w:h="16838"/>
          <w:pgMar w:top="1440" w:right="1800" w:bottom="1440" w:left="1800" w:header="851" w:footer="992" w:gutter="0"/>
          <w:cols w:space="425" w:num="1"/>
          <w:docGrid w:type="lines" w:linePitch="312" w:charSpace="0"/>
        </w:sectPr>
      </w:pPr>
    </w:p>
    <w:p w14:paraId="5C675C53">
      <w:pPr>
        <w:pStyle w:val="2"/>
        <w:spacing w:before="312" w:after="157" w:line="240" w:lineRule="auto"/>
        <w:rPr>
          <w:rFonts w:ascii="黑体" w:hAnsi="黑体" w:cs="黑体"/>
          <w:highlight w:val="none"/>
        </w:rPr>
      </w:pPr>
      <w:bookmarkStart w:id="0" w:name="_Toc507012559"/>
      <w:bookmarkStart w:id="1" w:name="_Toc1029086929"/>
      <w:bookmarkStart w:id="2" w:name="_Toc15322"/>
      <w:bookmarkStart w:id="3" w:name="_Toc24495"/>
      <w:bookmarkStart w:id="4" w:name="_Toc25856"/>
      <w:bookmarkStart w:id="5" w:name="_Toc3258"/>
      <w:bookmarkStart w:id="6" w:name="_Toc25468"/>
      <w:bookmarkStart w:id="7" w:name="_Toc20434"/>
      <w:bookmarkStart w:id="8" w:name="_Toc364353832"/>
      <w:bookmarkStart w:id="9" w:name="_Toc13259"/>
      <w:bookmarkStart w:id="10" w:name="_Toc9985"/>
      <w:bookmarkStart w:id="11" w:name="_Toc2058773496"/>
      <w:bookmarkStart w:id="12" w:name="_Toc747"/>
      <w:bookmarkStart w:id="13" w:name="_Toc31715"/>
      <w:bookmarkStart w:id="14" w:name="_Toc926"/>
      <w:bookmarkStart w:id="15" w:name="_Toc24604"/>
      <w:bookmarkStart w:id="16" w:name="_Toc12953"/>
      <w:bookmarkStart w:id="17" w:name="_Toc1335088360"/>
      <w:bookmarkStart w:id="18" w:name="_Toc24829"/>
      <w:bookmarkStart w:id="19" w:name="_Toc715"/>
      <w:bookmarkStart w:id="20" w:name="_Toc24195"/>
      <w:bookmarkStart w:id="21" w:name="_Toc10695"/>
      <w:bookmarkStart w:id="22" w:name="_Toc296335472"/>
      <w:bookmarkStart w:id="23" w:name="_Toc24671"/>
      <w:bookmarkStart w:id="24" w:name="_Toc2666"/>
      <w:bookmarkStart w:id="25" w:name="_Toc29881"/>
      <w:bookmarkStart w:id="26" w:name="_Toc651853479"/>
      <w:bookmarkStart w:id="27" w:name="_Toc2132252992"/>
      <w:bookmarkStart w:id="28" w:name="_Toc24279"/>
      <w:r>
        <w:rPr>
          <w:rFonts w:hint="eastAsia"/>
          <w:highlight w:val="none"/>
          <w:lang w:eastAsia="zh-CN"/>
        </w:rPr>
        <w:t>连城县林坊农贸市场管理服务有限公司</w:t>
      </w:r>
      <w:r>
        <w:rPr>
          <w:rFonts w:hint="eastAsia"/>
          <w:highlight w:val="none"/>
        </w:rPr>
        <w:t>债权表</w:t>
      </w:r>
      <w:bookmarkEnd w:id="0"/>
    </w:p>
    <w:p w14:paraId="0F3D6B8D">
      <w:pPr>
        <w:keepNext w:val="0"/>
        <w:keepLines w:val="0"/>
        <w:widowControl/>
        <w:numPr>
          <w:ilvl w:val="0"/>
          <w:numId w:val="0"/>
        </w:numPr>
        <w:suppressLineNumbers w:val="0"/>
        <w:jc w:val="center"/>
        <w:textAlignment w:val="center"/>
        <w:outlineLvl w:val="9"/>
        <w:rPr>
          <w:rFonts w:hint="eastAsia" w:ascii="仿宋" w:hAnsi="仿宋" w:eastAsia="仿宋" w:cs="仿宋"/>
          <w:b w:val="0"/>
          <w:bCs/>
          <w:i w:val="0"/>
          <w:color w:val="auto"/>
          <w:kern w:val="0"/>
          <w:sz w:val="24"/>
          <w:szCs w:val="24"/>
          <w:highlight w:val="none"/>
          <w:u w:val="none"/>
          <w:lang w:val="en-US" w:eastAsia="zh-CN" w:bidi="ar"/>
        </w:rPr>
      </w:pPr>
      <w:r>
        <w:rPr>
          <w:rFonts w:hint="eastAsia" w:ascii="仿宋" w:hAnsi="仿宋" w:eastAsia="仿宋" w:cs="仿宋"/>
          <w:b w:val="0"/>
          <w:bCs/>
          <w:i w:val="0"/>
          <w:color w:val="auto"/>
          <w:kern w:val="0"/>
          <w:sz w:val="24"/>
          <w:szCs w:val="24"/>
          <w:highlight w:val="none"/>
          <w:u w:val="none"/>
          <w:lang w:val="en-US" w:eastAsia="zh-CN" w:bidi="ar"/>
        </w:rPr>
        <w:t>（截止日期：2026年8月20日；单位：人民币元）</w:t>
      </w:r>
    </w:p>
    <w:p w14:paraId="39A2E039">
      <w:pPr>
        <w:widowControl/>
        <w:numPr>
          <w:ilvl w:val="255"/>
          <w:numId w:val="0"/>
        </w:numPr>
        <w:ind w:firstLine="562" w:firstLineChars="200"/>
        <w:jc w:val="left"/>
        <w:textAlignment w:val="center"/>
        <w:rPr>
          <w:rFonts w:ascii="仿宋" w:hAnsi="仿宋" w:eastAsia="仿宋" w:cs="仿宋"/>
          <w:b/>
          <w:bCs/>
          <w:color w:val="000000"/>
          <w:kern w:val="0"/>
          <w:szCs w:val="21"/>
          <w:lang w:bidi="ar"/>
        </w:rPr>
      </w:pPr>
    </w:p>
    <w:p w14:paraId="29A60904">
      <w:pPr>
        <w:widowControl/>
        <w:numPr>
          <w:ilvl w:val="255"/>
          <w:numId w:val="0"/>
        </w:numPr>
        <w:jc w:val="left"/>
        <w:textAlignment w:val="center"/>
        <w:rPr>
          <w:rFonts w:ascii="仿宋" w:hAnsi="仿宋" w:eastAsia="仿宋" w:cs="仿宋"/>
          <w:b/>
          <w:bCs/>
          <w:color w:val="000000"/>
          <w:kern w:val="0"/>
          <w:szCs w:val="21"/>
          <w:lang w:bidi="ar"/>
        </w:rPr>
      </w:pPr>
    </w:p>
    <w:tbl>
      <w:tblPr>
        <w:tblStyle w:val="7"/>
        <w:tblW w:w="15213" w:type="dxa"/>
        <w:jc w:val="center"/>
        <w:tblLayout w:type="fixed"/>
        <w:tblCellMar>
          <w:top w:w="0" w:type="dxa"/>
          <w:left w:w="0" w:type="dxa"/>
          <w:bottom w:w="0" w:type="dxa"/>
          <w:right w:w="0" w:type="dxa"/>
        </w:tblCellMar>
      </w:tblPr>
      <w:tblGrid>
        <w:gridCol w:w="533"/>
        <w:gridCol w:w="1118"/>
        <w:gridCol w:w="2059"/>
        <w:gridCol w:w="1274"/>
        <w:gridCol w:w="1049"/>
        <w:gridCol w:w="1461"/>
        <w:gridCol w:w="1461"/>
        <w:gridCol w:w="1322"/>
        <w:gridCol w:w="1026"/>
        <w:gridCol w:w="1408"/>
        <w:gridCol w:w="540"/>
        <w:gridCol w:w="591"/>
        <w:gridCol w:w="1371"/>
      </w:tblGrid>
      <w:tr w14:paraId="599D5204">
        <w:trPr>
          <w:trHeight w:val="560" w:hRule="atLeast"/>
          <w:tblHeader/>
          <w:jc w:val="center"/>
        </w:trPr>
        <w:tc>
          <w:tcPr>
            <w:tcW w:w="1651" w:type="dxa"/>
            <w:gridSpan w:val="2"/>
            <w:tcBorders>
              <w:top w:val="single" w:color="000000" w:sz="4" w:space="0"/>
              <w:left w:val="single" w:color="000000" w:sz="4" w:space="0"/>
              <w:bottom w:val="single" w:color="000000" w:sz="4" w:space="0"/>
              <w:right w:val="single" w:color="000000" w:sz="4" w:space="0"/>
            </w:tcBorders>
            <w:shd w:val="clear" w:color="auto" w:fill="7F7F7F"/>
            <w:noWrap w:val="0"/>
            <w:tcMar>
              <w:top w:w="15" w:type="dxa"/>
              <w:left w:w="15" w:type="dxa"/>
              <w:right w:w="15" w:type="dxa"/>
            </w:tcMar>
            <w:vAlign w:val="center"/>
          </w:tcPr>
          <w:p w14:paraId="59E2A96A">
            <w:pPr>
              <w:keepNext w:val="0"/>
              <w:keepLines w:val="0"/>
              <w:pageBreakBefore w:val="0"/>
              <w:widowControl/>
              <w:suppressLineNumbers w:val="0"/>
              <w:kinsoku/>
              <w:wordWrap/>
              <w:overflowPunct/>
              <w:topLinePunct w:val="0"/>
              <w:autoSpaceDN/>
              <w:bidi w:val="0"/>
              <w:adjustRightInd/>
              <w:jc w:val="center"/>
              <w:textAlignment w:val="center"/>
              <w:outlineLvl w:val="9"/>
              <w:rPr>
                <w:rFonts w:hint="eastAsia" w:ascii="仿宋" w:hAnsi="仿宋" w:eastAsia="仿宋" w:cs="仿宋"/>
                <w:b/>
                <w:i w:val="0"/>
                <w:color w:val="000000"/>
                <w:sz w:val="21"/>
                <w:szCs w:val="21"/>
                <w:highlight w:val="none"/>
                <w:u w:val="none"/>
              </w:rPr>
            </w:pPr>
            <w:r>
              <w:rPr>
                <w:rFonts w:hint="eastAsia" w:ascii="仿宋" w:hAnsi="仿宋" w:eastAsia="仿宋" w:cs="仿宋"/>
                <w:b/>
                <w:i w:val="0"/>
                <w:color w:val="000000"/>
                <w:kern w:val="0"/>
                <w:sz w:val="21"/>
                <w:szCs w:val="21"/>
                <w:highlight w:val="none"/>
                <w:u w:val="none"/>
                <w:lang w:val="en-US" w:eastAsia="zh-CN" w:bidi="ar"/>
              </w:rPr>
              <w:t>债权人信息</w:t>
            </w:r>
          </w:p>
        </w:tc>
        <w:tc>
          <w:tcPr>
            <w:tcW w:w="5843" w:type="dxa"/>
            <w:gridSpan w:val="4"/>
            <w:tcBorders>
              <w:top w:val="single" w:color="000000" w:sz="4" w:space="0"/>
              <w:left w:val="single" w:color="000000" w:sz="4" w:space="0"/>
              <w:bottom w:val="single" w:color="000000" w:sz="4" w:space="0"/>
              <w:right w:val="single" w:color="000000" w:sz="4" w:space="0"/>
            </w:tcBorders>
            <w:shd w:val="clear" w:color="auto" w:fill="7F7F7F"/>
            <w:noWrap w:val="0"/>
            <w:tcMar>
              <w:top w:w="15" w:type="dxa"/>
              <w:left w:w="15" w:type="dxa"/>
              <w:right w:w="15" w:type="dxa"/>
            </w:tcMar>
            <w:vAlign w:val="center"/>
          </w:tcPr>
          <w:p w14:paraId="5818A1E1">
            <w:pPr>
              <w:keepNext w:val="0"/>
              <w:keepLines w:val="0"/>
              <w:pageBreakBefore w:val="0"/>
              <w:widowControl/>
              <w:suppressLineNumbers w:val="0"/>
              <w:kinsoku/>
              <w:wordWrap/>
              <w:overflowPunct/>
              <w:topLinePunct w:val="0"/>
              <w:autoSpaceDN/>
              <w:bidi w:val="0"/>
              <w:adjustRightInd/>
              <w:jc w:val="center"/>
              <w:textAlignment w:val="center"/>
              <w:outlineLvl w:val="9"/>
              <w:rPr>
                <w:rFonts w:hint="eastAsia" w:ascii="仿宋" w:hAnsi="仿宋" w:eastAsia="仿宋" w:cs="仿宋"/>
                <w:b/>
                <w:i w:val="0"/>
                <w:color w:val="000000"/>
                <w:sz w:val="21"/>
                <w:szCs w:val="21"/>
                <w:highlight w:val="none"/>
                <w:u w:val="none"/>
              </w:rPr>
            </w:pPr>
            <w:r>
              <w:rPr>
                <w:rFonts w:hint="eastAsia" w:ascii="仿宋" w:hAnsi="仿宋" w:eastAsia="仿宋" w:cs="仿宋"/>
                <w:b/>
                <w:i w:val="0"/>
                <w:color w:val="000000"/>
                <w:kern w:val="0"/>
                <w:sz w:val="21"/>
                <w:szCs w:val="21"/>
                <w:highlight w:val="none"/>
                <w:u w:val="none"/>
                <w:lang w:val="en-US" w:eastAsia="zh-CN" w:bidi="ar"/>
              </w:rPr>
              <w:t>申报情况</w:t>
            </w:r>
          </w:p>
        </w:tc>
        <w:tc>
          <w:tcPr>
            <w:tcW w:w="6348" w:type="dxa"/>
            <w:gridSpan w:val="6"/>
            <w:tcBorders>
              <w:top w:val="single" w:color="000000" w:sz="4" w:space="0"/>
              <w:left w:val="single" w:color="000000" w:sz="4" w:space="0"/>
              <w:bottom w:val="single" w:color="000000" w:sz="4" w:space="0"/>
              <w:right w:val="single" w:color="000000" w:sz="4" w:space="0"/>
            </w:tcBorders>
            <w:shd w:val="clear" w:color="auto" w:fill="7F7F7F"/>
            <w:noWrap w:val="0"/>
            <w:tcMar>
              <w:top w:w="15" w:type="dxa"/>
              <w:left w:w="15" w:type="dxa"/>
              <w:right w:w="15" w:type="dxa"/>
            </w:tcMar>
            <w:vAlign w:val="center"/>
          </w:tcPr>
          <w:p w14:paraId="7C52135E">
            <w:pPr>
              <w:keepNext w:val="0"/>
              <w:keepLines w:val="0"/>
              <w:pageBreakBefore w:val="0"/>
              <w:widowControl/>
              <w:suppressLineNumbers w:val="0"/>
              <w:kinsoku/>
              <w:wordWrap/>
              <w:overflowPunct/>
              <w:topLinePunct w:val="0"/>
              <w:autoSpaceDN/>
              <w:bidi w:val="0"/>
              <w:adjustRightInd/>
              <w:jc w:val="center"/>
              <w:textAlignment w:val="center"/>
              <w:outlineLvl w:val="9"/>
              <w:rPr>
                <w:rFonts w:hint="eastAsia" w:ascii="仿宋" w:hAnsi="仿宋" w:eastAsia="仿宋" w:cs="仿宋"/>
                <w:b/>
                <w:i w:val="0"/>
                <w:color w:val="000000"/>
                <w:sz w:val="21"/>
                <w:szCs w:val="21"/>
                <w:highlight w:val="none"/>
                <w:u w:val="none"/>
              </w:rPr>
            </w:pPr>
            <w:r>
              <w:rPr>
                <w:rFonts w:hint="eastAsia" w:ascii="仿宋" w:hAnsi="仿宋" w:eastAsia="仿宋" w:cs="仿宋"/>
                <w:b/>
                <w:i w:val="0"/>
                <w:color w:val="000000"/>
                <w:kern w:val="0"/>
                <w:sz w:val="21"/>
                <w:szCs w:val="21"/>
                <w:highlight w:val="none"/>
                <w:u w:val="none"/>
                <w:lang w:val="en-US" w:eastAsia="zh-CN" w:bidi="ar"/>
              </w:rPr>
              <w:t>审查情况</w:t>
            </w:r>
          </w:p>
        </w:tc>
        <w:tc>
          <w:tcPr>
            <w:tcW w:w="1371" w:type="dxa"/>
            <w:vMerge w:val="restart"/>
            <w:tcBorders>
              <w:top w:val="single" w:color="000000" w:sz="4" w:space="0"/>
              <w:left w:val="single" w:color="000000" w:sz="4" w:space="0"/>
              <w:right w:val="single" w:color="000000" w:sz="4" w:space="0"/>
            </w:tcBorders>
            <w:shd w:val="clear" w:color="auto" w:fill="7F7F7F"/>
            <w:noWrap w:val="0"/>
            <w:tcMar>
              <w:top w:w="15" w:type="dxa"/>
              <w:left w:w="15" w:type="dxa"/>
              <w:right w:w="15" w:type="dxa"/>
            </w:tcMar>
            <w:vAlign w:val="center"/>
          </w:tcPr>
          <w:p w14:paraId="3164810D">
            <w:pPr>
              <w:keepNext w:val="0"/>
              <w:keepLines w:val="0"/>
              <w:pageBreakBefore w:val="0"/>
              <w:widowControl/>
              <w:suppressLineNumbers w:val="0"/>
              <w:kinsoku/>
              <w:wordWrap/>
              <w:overflowPunct/>
              <w:topLinePunct w:val="0"/>
              <w:autoSpaceDN/>
              <w:bidi w:val="0"/>
              <w:adjustRightInd/>
              <w:jc w:val="center"/>
              <w:textAlignment w:val="center"/>
              <w:outlineLvl w:val="9"/>
              <w:rPr>
                <w:rFonts w:hint="eastAsia" w:ascii="仿宋" w:hAnsi="仿宋" w:eastAsia="仿宋" w:cs="仿宋"/>
                <w:b/>
                <w:i w:val="0"/>
                <w:color w:val="000000"/>
                <w:kern w:val="0"/>
                <w:sz w:val="21"/>
                <w:szCs w:val="21"/>
                <w:highlight w:val="none"/>
                <w:u w:val="none"/>
                <w:lang w:val="en-US" w:eastAsia="zh-CN" w:bidi="ar"/>
              </w:rPr>
            </w:pPr>
            <w:r>
              <w:rPr>
                <w:rFonts w:hint="eastAsia" w:ascii="仿宋" w:hAnsi="仿宋" w:eastAsia="仿宋" w:cs="仿宋"/>
                <w:b/>
                <w:i w:val="0"/>
                <w:color w:val="000000"/>
                <w:kern w:val="0"/>
                <w:sz w:val="21"/>
                <w:szCs w:val="21"/>
                <w:highlight w:val="none"/>
                <w:u w:val="none"/>
                <w:lang w:val="en-US" w:eastAsia="zh-CN" w:bidi="ar"/>
              </w:rPr>
              <w:t>备注</w:t>
            </w:r>
          </w:p>
        </w:tc>
      </w:tr>
      <w:tr w14:paraId="2D15AE56">
        <w:trPr>
          <w:trHeight w:val="654" w:hRule="atLeast"/>
          <w:tblHeader/>
          <w:jc w:val="center"/>
        </w:trPr>
        <w:tc>
          <w:tcPr>
            <w:tcW w:w="533" w:type="dxa"/>
            <w:tcBorders>
              <w:top w:val="single" w:color="000000" w:sz="4" w:space="0"/>
              <w:left w:val="single" w:color="000000" w:sz="4" w:space="0"/>
              <w:bottom w:val="single" w:color="000000" w:sz="4" w:space="0"/>
              <w:right w:val="single" w:color="000000" w:sz="4" w:space="0"/>
            </w:tcBorders>
            <w:shd w:val="clear" w:color="auto" w:fill="7F7F7F"/>
            <w:noWrap w:val="0"/>
            <w:tcMar>
              <w:top w:w="15" w:type="dxa"/>
              <w:left w:w="15" w:type="dxa"/>
              <w:right w:w="15" w:type="dxa"/>
            </w:tcMar>
            <w:vAlign w:val="center"/>
          </w:tcPr>
          <w:p w14:paraId="4E31902E">
            <w:pPr>
              <w:keepNext w:val="0"/>
              <w:keepLines w:val="0"/>
              <w:pageBreakBefore w:val="0"/>
              <w:widowControl/>
              <w:suppressLineNumbers w:val="0"/>
              <w:kinsoku/>
              <w:wordWrap/>
              <w:overflowPunct/>
              <w:topLinePunct w:val="0"/>
              <w:autoSpaceDN/>
              <w:bidi w:val="0"/>
              <w:adjustRightInd/>
              <w:jc w:val="center"/>
              <w:textAlignment w:val="center"/>
              <w:outlineLvl w:val="9"/>
              <w:rPr>
                <w:rFonts w:hint="eastAsia" w:ascii="仿宋" w:hAnsi="仿宋" w:eastAsia="仿宋" w:cs="仿宋"/>
                <w:b/>
                <w:i w:val="0"/>
                <w:color w:val="000000"/>
                <w:sz w:val="21"/>
                <w:szCs w:val="21"/>
                <w:highlight w:val="none"/>
                <w:u w:val="none"/>
              </w:rPr>
            </w:pPr>
            <w:r>
              <w:rPr>
                <w:rFonts w:hint="eastAsia" w:ascii="仿宋" w:hAnsi="仿宋" w:eastAsia="仿宋" w:cs="仿宋"/>
                <w:b/>
                <w:i w:val="0"/>
                <w:color w:val="000000"/>
                <w:kern w:val="0"/>
                <w:sz w:val="21"/>
                <w:szCs w:val="21"/>
                <w:highlight w:val="none"/>
                <w:u w:val="none"/>
                <w:lang w:val="en-US" w:eastAsia="zh-CN" w:bidi="ar"/>
              </w:rPr>
              <w:t>编号</w:t>
            </w:r>
          </w:p>
        </w:tc>
        <w:tc>
          <w:tcPr>
            <w:tcW w:w="1118" w:type="dxa"/>
            <w:tcBorders>
              <w:top w:val="single" w:color="000000" w:sz="4" w:space="0"/>
              <w:left w:val="single" w:color="000000" w:sz="4" w:space="0"/>
              <w:bottom w:val="single" w:color="000000" w:sz="4" w:space="0"/>
              <w:right w:val="single" w:color="000000" w:sz="4" w:space="0"/>
            </w:tcBorders>
            <w:shd w:val="clear" w:color="auto" w:fill="7F7F7F"/>
            <w:noWrap w:val="0"/>
            <w:tcMar>
              <w:top w:w="15" w:type="dxa"/>
              <w:left w:w="15" w:type="dxa"/>
              <w:right w:w="15" w:type="dxa"/>
            </w:tcMar>
            <w:vAlign w:val="center"/>
          </w:tcPr>
          <w:p w14:paraId="7BE313D5">
            <w:pPr>
              <w:keepNext w:val="0"/>
              <w:keepLines w:val="0"/>
              <w:pageBreakBefore w:val="0"/>
              <w:widowControl/>
              <w:suppressLineNumbers w:val="0"/>
              <w:kinsoku/>
              <w:wordWrap/>
              <w:overflowPunct/>
              <w:topLinePunct w:val="0"/>
              <w:autoSpaceDN/>
              <w:bidi w:val="0"/>
              <w:adjustRightInd/>
              <w:jc w:val="center"/>
              <w:textAlignment w:val="center"/>
              <w:outlineLvl w:val="9"/>
              <w:rPr>
                <w:rFonts w:hint="eastAsia" w:ascii="仿宋" w:hAnsi="仿宋" w:eastAsia="仿宋" w:cs="仿宋"/>
                <w:b/>
                <w:i w:val="0"/>
                <w:color w:val="000000"/>
                <w:sz w:val="21"/>
                <w:szCs w:val="21"/>
                <w:highlight w:val="none"/>
                <w:u w:val="none"/>
              </w:rPr>
            </w:pPr>
            <w:r>
              <w:rPr>
                <w:rFonts w:hint="eastAsia" w:ascii="仿宋" w:hAnsi="仿宋" w:eastAsia="仿宋" w:cs="仿宋"/>
                <w:b/>
                <w:i w:val="0"/>
                <w:color w:val="000000"/>
                <w:kern w:val="0"/>
                <w:sz w:val="21"/>
                <w:szCs w:val="21"/>
                <w:highlight w:val="none"/>
                <w:u w:val="none"/>
                <w:lang w:val="en-US" w:eastAsia="zh-CN" w:bidi="ar"/>
              </w:rPr>
              <w:t>申报人名称</w:t>
            </w:r>
          </w:p>
        </w:tc>
        <w:tc>
          <w:tcPr>
            <w:tcW w:w="2059" w:type="dxa"/>
            <w:tcBorders>
              <w:top w:val="single" w:color="000000" w:sz="4" w:space="0"/>
              <w:left w:val="single" w:color="000000" w:sz="4" w:space="0"/>
              <w:bottom w:val="single" w:color="000000" w:sz="4" w:space="0"/>
              <w:right w:val="single" w:color="000000" w:sz="4" w:space="0"/>
            </w:tcBorders>
            <w:shd w:val="clear" w:color="auto" w:fill="7F7F7F"/>
            <w:noWrap w:val="0"/>
            <w:tcMar>
              <w:top w:w="15" w:type="dxa"/>
              <w:left w:w="15" w:type="dxa"/>
              <w:right w:w="15" w:type="dxa"/>
            </w:tcMar>
            <w:vAlign w:val="center"/>
          </w:tcPr>
          <w:p w14:paraId="5BF63673">
            <w:pPr>
              <w:keepNext w:val="0"/>
              <w:keepLines w:val="0"/>
              <w:pageBreakBefore w:val="0"/>
              <w:widowControl/>
              <w:suppressLineNumbers w:val="0"/>
              <w:kinsoku/>
              <w:wordWrap/>
              <w:overflowPunct/>
              <w:topLinePunct w:val="0"/>
              <w:autoSpaceDN/>
              <w:bidi w:val="0"/>
              <w:adjustRightInd/>
              <w:jc w:val="center"/>
              <w:textAlignment w:val="center"/>
              <w:outlineLvl w:val="9"/>
              <w:rPr>
                <w:rFonts w:hint="eastAsia" w:ascii="仿宋" w:hAnsi="仿宋" w:eastAsia="仿宋" w:cs="仿宋"/>
                <w:b/>
                <w:i w:val="0"/>
                <w:color w:val="000000"/>
                <w:sz w:val="21"/>
                <w:szCs w:val="21"/>
                <w:highlight w:val="none"/>
                <w:u w:val="none"/>
              </w:rPr>
            </w:pPr>
            <w:r>
              <w:rPr>
                <w:rFonts w:hint="eastAsia" w:ascii="仿宋" w:hAnsi="仿宋" w:eastAsia="仿宋" w:cs="仿宋"/>
                <w:b/>
                <w:i w:val="0"/>
                <w:color w:val="000000"/>
                <w:kern w:val="0"/>
                <w:sz w:val="21"/>
                <w:szCs w:val="21"/>
                <w:highlight w:val="none"/>
                <w:u w:val="none"/>
                <w:lang w:val="en-US" w:eastAsia="zh-CN" w:bidi="ar"/>
              </w:rPr>
              <w:t>本金</w:t>
            </w:r>
          </w:p>
        </w:tc>
        <w:tc>
          <w:tcPr>
            <w:tcW w:w="1274" w:type="dxa"/>
            <w:tcBorders>
              <w:top w:val="single" w:color="000000" w:sz="4" w:space="0"/>
              <w:left w:val="single" w:color="000000" w:sz="4" w:space="0"/>
              <w:bottom w:val="single" w:color="000000" w:sz="4" w:space="0"/>
              <w:right w:val="single" w:color="000000" w:sz="4" w:space="0"/>
            </w:tcBorders>
            <w:shd w:val="clear" w:color="auto" w:fill="7F7F7F"/>
            <w:noWrap w:val="0"/>
            <w:tcMar>
              <w:top w:w="15" w:type="dxa"/>
              <w:left w:w="15" w:type="dxa"/>
              <w:right w:w="15" w:type="dxa"/>
            </w:tcMar>
            <w:vAlign w:val="center"/>
          </w:tcPr>
          <w:p w14:paraId="3B8123E9">
            <w:pPr>
              <w:keepNext w:val="0"/>
              <w:keepLines w:val="0"/>
              <w:pageBreakBefore w:val="0"/>
              <w:widowControl/>
              <w:suppressLineNumbers w:val="0"/>
              <w:kinsoku/>
              <w:wordWrap/>
              <w:overflowPunct/>
              <w:topLinePunct w:val="0"/>
              <w:autoSpaceDN/>
              <w:bidi w:val="0"/>
              <w:adjustRightInd/>
              <w:jc w:val="center"/>
              <w:textAlignment w:val="center"/>
              <w:outlineLvl w:val="9"/>
              <w:rPr>
                <w:rFonts w:hint="eastAsia" w:ascii="仿宋" w:hAnsi="仿宋" w:eastAsia="仿宋" w:cs="仿宋"/>
                <w:b/>
                <w:i w:val="0"/>
                <w:color w:val="000000"/>
                <w:sz w:val="21"/>
                <w:szCs w:val="21"/>
                <w:highlight w:val="none"/>
                <w:u w:val="none"/>
              </w:rPr>
            </w:pPr>
            <w:r>
              <w:rPr>
                <w:rFonts w:hint="eastAsia" w:ascii="仿宋" w:hAnsi="仿宋" w:eastAsia="仿宋" w:cs="仿宋"/>
                <w:b/>
                <w:i w:val="0"/>
                <w:color w:val="000000"/>
                <w:kern w:val="0"/>
                <w:sz w:val="21"/>
                <w:szCs w:val="21"/>
                <w:highlight w:val="none"/>
                <w:u w:val="none"/>
                <w:lang w:val="en-US" w:eastAsia="zh-CN" w:bidi="ar"/>
              </w:rPr>
              <w:t>利息</w:t>
            </w:r>
          </w:p>
        </w:tc>
        <w:tc>
          <w:tcPr>
            <w:tcW w:w="1049" w:type="dxa"/>
            <w:tcBorders>
              <w:top w:val="single" w:color="000000" w:sz="4" w:space="0"/>
              <w:left w:val="single" w:color="000000" w:sz="4" w:space="0"/>
              <w:bottom w:val="single" w:color="000000" w:sz="4" w:space="0"/>
              <w:right w:val="single" w:color="000000" w:sz="4" w:space="0"/>
            </w:tcBorders>
            <w:shd w:val="clear" w:color="auto" w:fill="7F7F7F"/>
            <w:noWrap w:val="0"/>
            <w:tcMar>
              <w:top w:w="15" w:type="dxa"/>
              <w:left w:w="15" w:type="dxa"/>
              <w:right w:w="15" w:type="dxa"/>
            </w:tcMar>
            <w:vAlign w:val="center"/>
          </w:tcPr>
          <w:p w14:paraId="68F2FD8F">
            <w:pPr>
              <w:keepNext w:val="0"/>
              <w:keepLines w:val="0"/>
              <w:pageBreakBefore w:val="0"/>
              <w:widowControl/>
              <w:suppressLineNumbers w:val="0"/>
              <w:kinsoku/>
              <w:wordWrap/>
              <w:overflowPunct/>
              <w:topLinePunct w:val="0"/>
              <w:autoSpaceDN/>
              <w:bidi w:val="0"/>
              <w:adjustRightInd/>
              <w:jc w:val="center"/>
              <w:textAlignment w:val="center"/>
              <w:outlineLvl w:val="9"/>
              <w:rPr>
                <w:rFonts w:hint="eastAsia" w:ascii="仿宋" w:hAnsi="仿宋" w:eastAsia="仿宋" w:cs="仿宋"/>
                <w:b/>
                <w:i w:val="0"/>
                <w:color w:val="000000"/>
                <w:sz w:val="21"/>
                <w:szCs w:val="21"/>
                <w:highlight w:val="none"/>
                <w:u w:val="none"/>
              </w:rPr>
            </w:pPr>
            <w:r>
              <w:rPr>
                <w:rFonts w:hint="eastAsia" w:ascii="仿宋" w:hAnsi="仿宋" w:eastAsia="仿宋" w:cs="仿宋"/>
                <w:b/>
                <w:i w:val="0"/>
                <w:color w:val="000000"/>
                <w:kern w:val="0"/>
                <w:sz w:val="21"/>
                <w:szCs w:val="21"/>
                <w:highlight w:val="none"/>
                <w:u w:val="none"/>
                <w:lang w:val="en-US" w:eastAsia="zh-CN" w:bidi="ar"/>
              </w:rPr>
              <w:t>其他</w:t>
            </w:r>
          </w:p>
        </w:tc>
        <w:tc>
          <w:tcPr>
            <w:tcW w:w="1461" w:type="dxa"/>
            <w:tcBorders>
              <w:top w:val="single" w:color="000000" w:sz="4" w:space="0"/>
              <w:left w:val="single" w:color="000000" w:sz="4" w:space="0"/>
              <w:bottom w:val="single" w:color="000000" w:sz="4" w:space="0"/>
              <w:right w:val="single" w:color="000000" w:sz="4" w:space="0"/>
            </w:tcBorders>
            <w:shd w:val="clear" w:color="auto" w:fill="7F7F7F"/>
            <w:noWrap w:val="0"/>
            <w:tcMar>
              <w:top w:w="15" w:type="dxa"/>
              <w:left w:w="15" w:type="dxa"/>
              <w:right w:w="15" w:type="dxa"/>
            </w:tcMar>
            <w:vAlign w:val="center"/>
          </w:tcPr>
          <w:p w14:paraId="48545305">
            <w:pPr>
              <w:keepNext w:val="0"/>
              <w:keepLines w:val="0"/>
              <w:pageBreakBefore w:val="0"/>
              <w:widowControl/>
              <w:suppressLineNumbers w:val="0"/>
              <w:kinsoku/>
              <w:wordWrap/>
              <w:overflowPunct/>
              <w:topLinePunct w:val="0"/>
              <w:autoSpaceDN/>
              <w:bidi w:val="0"/>
              <w:adjustRightInd/>
              <w:jc w:val="center"/>
              <w:textAlignment w:val="center"/>
              <w:outlineLvl w:val="9"/>
              <w:rPr>
                <w:rFonts w:hint="eastAsia" w:ascii="仿宋" w:hAnsi="仿宋" w:eastAsia="仿宋" w:cs="仿宋"/>
                <w:b/>
                <w:i w:val="0"/>
                <w:color w:val="000000"/>
                <w:sz w:val="21"/>
                <w:szCs w:val="21"/>
                <w:highlight w:val="none"/>
                <w:u w:val="none"/>
              </w:rPr>
            </w:pPr>
            <w:r>
              <w:rPr>
                <w:rFonts w:hint="eastAsia" w:ascii="仿宋" w:hAnsi="仿宋" w:eastAsia="仿宋" w:cs="仿宋"/>
                <w:b/>
                <w:i w:val="0"/>
                <w:color w:val="000000"/>
                <w:kern w:val="0"/>
                <w:sz w:val="21"/>
                <w:szCs w:val="21"/>
                <w:highlight w:val="none"/>
                <w:u w:val="none"/>
                <w:lang w:val="en-US" w:eastAsia="zh-CN" w:bidi="ar"/>
              </w:rPr>
              <w:t>总额</w:t>
            </w:r>
          </w:p>
        </w:tc>
        <w:tc>
          <w:tcPr>
            <w:tcW w:w="1461" w:type="dxa"/>
            <w:tcBorders>
              <w:top w:val="single" w:color="000000" w:sz="4" w:space="0"/>
              <w:left w:val="single" w:color="000000" w:sz="4" w:space="0"/>
              <w:bottom w:val="single" w:color="000000" w:sz="4" w:space="0"/>
              <w:right w:val="single" w:color="000000" w:sz="4" w:space="0"/>
            </w:tcBorders>
            <w:shd w:val="clear" w:color="auto" w:fill="7F7F7F"/>
            <w:noWrap w:val="0"/>
            <w:tcMar>
              <w:top w:w="15" w:type="dxa"/>
              <w:left w:w="15" w:type="dxa"/>
              <w:right w:w="15" w:type="dxa"/>
            </w:tcMar>
            <w:vAlign w:val="center"/>
          </w:tcPr>
          <w:p w14:paraId="231C7B33">
            <w:pPr>
              <w:keepNext w:val="0"/>
              <w:keepLines w:val="0"/>
              <w:pageBreakBefore w:val="0"/>
              <w:widowControl/>
              <w:suppressLineNumbers w:val="0"/>
              <w:kinsoku/>
              <w:wordWrap/>
              <w:overflowPunct/>
              <w:topLinePunct w:val="0"/>
              <w:autoSpaceDN/>
              <w:bidi w:val="0"/>
              <w:adjustRightInd/>
              <w:jc w:val="center"/>
              <w:textAlignment w:val="center"/>
              <w:outlineLvl w:val="9"/>
              <w:rPr>
                <w:rFonts w:hint="eastAsia" w:ascii="仿宋" w:hAnsi="仿宋" w:eastAsia="仿宋" w:cs="仿宋"/>
                <w:b/>
                <w:i w:val="0"/>
                <w:color w:val="000000"/>
                <w:sz w:val="21"/>
                <w:szCs w:val="21"/>
                <w:highlight w:val="none"/>
                <w:u w:val="none"/>
              </w:rPr>
            </w:pPr>
            <w:r>
              <w:rPr>
                <w:rFonts w:hint="eastAsia" w:ascii="仿宋" w:hAnsi="仿宋" w:eastAsia="仿宋" w:cs="仿宋"/>
                <w:b/>
                <w:i w:val="0"/>
                <w:color w:val="000000"/>
                <w:kern w:val="0"/>
                <w:sz w:val="21"/>
                <w:szCs w:val="21"/>
                <w:highlight w:val="none"/>
                <w:u w:val="none"/>
                <w:lang w:val="en-US" w:eastAsia="zh-CN" w:bidi="ar"/>
              </w:rPr>
              <w:t>本金</w:t>
            </w:r>
          </w:p>
        </w:tc>
        <w:tc>
          <w:tcPr>
            <w:tcW w:w="1322" w:type="dxa"/>
            <w:tcBorders>
              <w:top w:val="single" w:color="000000" w:sz="4" w:space="0"/>
              <w:left w:val="single" w:color="000000" w:sz="4" w:space="0"/>
              <w:bottom w:val="single" w:color="000000" w:sz="4" w:space="0"/>
              <w:right w:val="single" w:color="000000" w:sz="4" w:space="0"/>
            </w:tcBorders>
            <w:shd w:val="clear" w:color="auto" w:fill="7F7F7F"/>
            <w:noWrap w:val="0"/>
            <w:tcMar>
              <w:top w:w="15" w:type="dxa"/>
              <w:left w:w="15" w:type="dxa"/>
              <w:right w:w="15" w:type="dxa"/>
            </w:tcMar>
            <w:vAlign w:val="center"/>
          </w:tcPr>
          <w:p w14:paraId="678F4123">
            <w:pPr>
              <w:keepNext w:val="0"/>
              <w:keepLines w:val="0"/>
              <w:pageBreakBefore w:val="0"/>
              <w:widowControl/>
              <w:suppressLineNumbers w:val="0"/>
              <w:kinsoku/>
              <w:wordWrap/>
              <w:overflowPunct/>
              <w:topLinePunct w:val="0"/>
              <w:autoSpaceDN/>
              <w:bidi w:val="0"/>
              <w:adjustRightInd/>
              <w:jc w:val="center"/>
              <w:textAlignment w:val="center"/>
              <w:outlineLvl w:val="9"/>
              <w:rPr>
                <w:rFonts w:hint="eastAsia" w:ascii="仿宋" w:hAnsi="仿宋" w:eastAsia="仿宋" w:cs="仿宋"/>
                <w:b/>
                <w:i w:val="0"/>
                <w:color w:val="000000"/>
                <w:sz w:val="21"/>
                <w:szCs w:val="21"/>
                <w:highlight w:val="none"/>
                <w:u w:val="none"/>
              </w:rPr>
            </w:pPr>
            <w:r>
              <w:rPr>
                <w:rFonts w:hint="eastAsia" w:ascii="仿宋" w:hAnsi="仿宋" w:eastAsia="仿宋" w:cs="仿宋"/>
                <w:b/>
                <w:i w:val="0"/>
                <w:color w:val="000000"/>
                <w:kern w:val="0"/>
                <w:sz w:val="21"/>
                <w:szCs w:val="21"/>
                <w:highlight w:val="none"/>
                <w:u w:val="none"/>
                <w:lang w:val="en-US" w:eastAsia="zh-CN" w:bidi="ar"/>
              </w:rPr>
              <w:t>利息</w:t>
            </w:r>
          </w:p>
        </w:tc>
        <w:tc>
          <w:tcPr>
            <w:tcW w:w="1026" w:type="dxa"/>
            <w:tcBorders>
              <w:top w:val="single" w:color="000000" w:sz="4" w:space="0"/>
              <w:left w:val="single" w:color="000000" w:sz="4" w:space="0"/>
              <w:bottom w:val="single" w:color="000000" w:sz="4" w:space="0"/>
              <w:right w:val="single" w:color="000000" w:sz="4" w:space="0"/>
            </w:tcBorders>
            <w:shd w:val="clear" w:color="auto" w:fill="7F7F7F"/>
            <w:noWrap w:val="0"/>
            <w:tcMar>
              <w:top w:w="15" w:type="dxa"/>
              <w:left w:w="15" w:type="dxa"/>
              <w:right w:w="15" w:type="dxa"/>
            </w:tcMar>
            <w:vAlign w:val="center"/>
          </w:tcPr>
          <w:p w14:paraId="37DF84DC">
            <w:pPr>
              <w:keepNext w:val="0"/>
              <w:keepLines w:val="0"/>
              <w:pageBreakBefore w:val="0"/>
              <w:widowControl/>
              <w:suppressLineNumbers w:val="0"/>
              <w:kinsoku/>
              <w:wordWrap/>
              <w:overflowPunct/>
              <w:topLinePunct w:val="0"/>
              <w:autoSpaceDN/>
              <w:bidi w:val="0"/>
              <w:adjustRightInd/>
              <w:jc w:val="center"/>
              <w:textAlignment w:val="center"/>
              <w:outlineLvl w:val="9"/>
              <w:rPr>
                <w:rFonts w:hint="eastAsia" w:ascii="仿宋" w:hAnsi="仿宋" w:eastAsia="仿宋" w:cs="仿宋"/>
                <w:b/>
                <w:i w:val="0"/>
                <w:color w:val="000000"/>
                <w:sz w:val="21"/>
                <w:szCs w:val="21"/>
                <w:highlight w:val="none"/>
                <w:u w:val="none"/>
              </w:rPr>
            </w:pPr>
            <w:r>
              <w:rPr>
                <w:rFonts w:hint="eastAsia" w:ascii="仿宋" w:hAnsi="仿宋" w:eastAsia="仿宋" w:cs="仿宋"/>
                <w:b/>
                <w:i w:val="0"/>
                <w:color w:val="000000"/>
                <w:kern w:val="0"/>
                <w:sz w:val="21"/>
                <w:szCs w:val="21"/>
                <w:highlight w:val="none"/>
                <w:u w:val="none"/>
                <w:lang w:val="en-US" w:eastAsia="zh-CN" w:bidi="ar"/>
              </w:rPr>
              <w:t>其他</w:t>
            </w:r>
          </w:p>
        </w:tc>
        <w:tc>
          <w:tcPr>
            <w:tcW w:w="1408" w:type="dxa"/>
            <w:tcBorders>
              <w:top w:val="single" w:color="000000" w:sz="4" w:space="0"/>
              <w:left w:val="single" w:color="000000" w:sz="4" w:space="0"/>
              <w:bottom w:val="single" w:color="000000" w:sz="4" w:space="0"/>
              <w:right w:val="single" w:color="000000" w:sz="4" w:space="0"/>
            </w:tcBorders>
            <w:shd w:val="clear" w:color="auto" w:fill="7F7F7F"/>
            <w:noWrap w:val="0"/>
            <w:tcMar>
              <w:top w:w="15" w:type="dxa"/>
              <w:left w:w="15" w:type="dxa"/>
              <w:right w:w="15" w:type="dxa"/>
            </w:tcMar>
            <w:vAlign w:val="center"/>
          </w:tcPr>
          <w:p w14:paraId="52D75DC1">
            <w:pPr>
              <w:keepNext w:val="0"/>
              <w:keepLines w:val="0"/>
              <w:pageBreakBefore w:val="0"/>
              <w:widowControl/>
              <w:suppressLineNumbers w:val="0"/>
              <w:kinsoku/>
              <w:wordWrap/>
              <w:overflowPunct/>
              <w:topLinePunct w:val="0"/>
              <w:autoSpaceDN/>
              <w:bidi w:val="0"/>
              <w:adjustRightInd/>
              <w:jc w:val="center"/>
              <w:textAlignment w:val="center"/>
              <w:outlineLvl w:val="9"/>
              <w:rPr>
                <w:rFonts w:hint="eastAsia" w:ascii="仿宋" w:hAnsi="仿宋" w:eastAsia="仿宋" w:cs="仿宋"/>
                <w:b/>
                <w:i w:val="0"/>
                <w:color w:val="000000"/>
                <w:sz w:val="21"/>
                <w:szCs w:val="21"/>
                <w:highlight w:val="none"/>
                <w:u w:val="none"/>
              </w:rPr>
            </w:pPr>
            <w:r>
              <w:rPr>
                <w:rFonts w:hint="eastAsia" w:ascii="仿宋" w:hAnsi="仿宋" w:eastAsia="仿宋" w:cs="仿宋"/>
                <w:b/>
                <w:i w:val="0"/>
                <w:color w:val="000000"/>
                <w:kern w:val="0"/>
                <w:sz w:val="21"/>
                <w:szCs w:val="21"/>
                <w:highlight w:val="none"/>
                <w:u w:val="none"/>
                <w:lang w:val="en-US" w:eastAsia="zh-CN" w:bidi="ar"/>
              </w:rPr>
              <w:t>审定债权</w:t>
            </w:r>
          </w:p>
        </w:tc>
        <w:tc>
          <w:tcPr>
            <w:tcW w:w="540" w:type="dxa"/>
            <w:tcBorders>
              <w:top w:val="single" w:color="000000" w:sz="4" w:space="0"/>
              <w:left w:val="single" w:color="000000" w:sz="4" w:space="0"/>
              <w:bottom w:val="single" w:color="000000" w:sz="4" w:space="0"/>
              <w:right w:val="single" w:color="000000" w:sz="4" w:space="0"/>
            </w:tcBorders>
            <w:shd w:val="clear" w:color="auto" w:fill="7F7F7F"/>
            <w:noWrap w:val="0"/>
            <w:tcMar>
              <w:top w:w="15" w:type="dxa"/>
              <w:left w:w="15" w:type="dxa"/>
              <w:right w:w="15" w:type="dxa"/>
            </w:tcMar>
            <w:vAlign w:val="center"/>
          </w:tcPr>
          <w:p w14:paraId="430D54FF">
            <w:pPr>
              <w:keepNext w:val="0"/>
              <w:keepLines w:val="0"/>
              <w:pageBreakBefore w:val="0"/>
              <w:widowControl/>
              <w:suppressLineNumbers w:val="0"/>
              <w:kinsoku/>
              <w:wordWrap/>
              <w:overflowPunct/>
              <w:topLinePunct w:val="0"/>
              <w:autoSpaceDN/>
              <w:bidi w:val="0"/>
              <w:adjustRightInd/>
              <w:jc w:val="center"/>
              <w:textAlignment w:val="center"/>
              <w:outlineLvl w:val="9"/>
              <w:rPr>
                <w:rFonts w:hint="eastAsia" w:ascii="仿宋" w:hAnsi="仿宋" w:eastAsia="仿宋" w:cs="仿宋"/>
                <w:b/>
                <w:i w:val="0"/>
                <w:color w:val="000000"/>
                <w:sz w:val="21"/>
                <w:szCs w:val="21"/>
                <w:highlight w:val="none"/>
                <w:u w:val="none"/>
              </w:rPr>
            </w:pPr>
            <w:r>
              <w:rPr>
                <w:rFonts w:hint="eastAsia" w:ascii="仿宋" w:hAnsi="仿宋" w:eastAsia="仿宋" w:cs="仿宋"/>
                <w:b/>
                <w:i w:val="0"/>
                <w:color w:val="000000"/>
                <w:kern w:val="0"/>
                <w:sz w:val="21"/>
                <w:szCs w:val="21"/>
                <w:highlight w:val="none"/>
                <w:u w:val="none"/>
                <w:lang w:val="en-US" w:eastAsia="zh-CN" w:bidi="ar"/>
              </w:rPr>
              <w:t>审查意见</w:t>
            </w:r>
          </w:p>
        </w:tc>
        <w:tc>
          <w:tcPr>
            <w:tcW w:w="591" w:type="dxa"/>
            <w:tcBorders>
              <w:top w:val="single" w:color="000000" w:sz="4" w:space="0"/>
              <w:left w:val="single" w:color="000000" w:sz="4" w:space="0"/>
              <w:bottom w:val="single" w:color="000000" w:sz="4" w:space="0"/>
              <w:right w:val="single" w:color="000000" w:sz="4" w:space="0"/>
            </w:tcBorders>
            <w:shd w:val="clear" w:color="auto" w:fill="7F7F7F"/>
            <w:noWrap w:val="0"/>
            <w:tcMar>
              <w:top w:w="15" w:type="dxa"/>
              <w:left w:w="15" w:type="dxa"/>
              <w:right w:w="15" w:type="dxa"/>
            </w:tcMar>
            <w:vAlign w:val="center"/>
          </w:tcPr>
          <w:p w14:paraId="02714EC0">
            <w:pPr>
              <w:keepNext w:val="0"/>
              <w:keepLines w:val="0"/>
              <w:pageBreakBefore w:val="0"/>
              <w:widowControl/>
              <w:suppressLineNumbers w:val="0"/>
              <w:kinsoku/>
              <w:wordWrap/>
              <w:overflowPunct/>
              <w:topLinePunct w:val="0"/>
              <w:autoSpaceDN/>
              <w:bidi w:val="0"/>
              <w:adjustRightInd/>
              <w:jc w:val="center"/>
              <w:textAlignment w:val="center"/>
              <w:outlineLvl w:val="9"/>
              <w:rPr>
                <w:rFonts w:hint="eastAsia" w:ascii="仿宋" w:hAnsi="仿宋" w:eastAsia="仿宋" w:cs="仿宋"/>
                <w:b/>
                <w:i w:val="0"/>
                <w:color w:val="000000"/>
                <w:sz w:val="21"/>
                <w:szCs w:val="21"/>
                <w:highlight w:val="none"/>
                <w:u w:val="none"/>
              </w:rPr>
            </w:pPr>
            <w:r>
              <w:rPr>
                <w:rFonts w:hint="eastAsia" w:ascii="仿宋" w:hAnsi="仿宋" w:eastAsia="仿宋" w:cs="仿宋"/>
                <w:b/>
                <w:i w:val="0"/>
                <w:color w:val="000000"/>
                <w:kern w:val="0"/>
                <w:sz w:val="21"/>
                <w:szCs w:val="21"/>
                <w:highlight w:val="none"/>
                <w:u w:val="none"/>
                <w:lang w:val="en-US" w:eastAsia="zh-CN" w:bidi="ar"/>
              </w:rPr>
              <w:t>债权性质</w:t>
            </w:r>
          </w:p>
        </w:tc>
        <w:tc>
          <w:tcPr>
            <w:tcW w:w="1371" w:type="dxa"/>
            <w:vMerge w:val="continue"/>
            <w:tcBorders>
              <w:left w:val="single" w:color="000000" w:sz="4" w:space="0"/>
              <w:bottom w:val="single" w:color="000000" w:sz="4" w:space="0"/>
              <w:right w:val="single" w:color="000000" w:sz="4" w:space="0"/>
            </w:tcBorders>
            <w:shd w:val="clear" w:color="auto" w:fill="E7E6E6"/>
            <w:noWrap w:val="0"/>
            <w:tcMar>
              <w:top w:w="15" w:type="dxa"/>
              <w:left w:w="15" w:type="dxa"/>
              <w:right w:w="15" w:type="dxa"/>
            </w:tcMar>
            <w:vAlign w:val="center"/>
          </w:tcPr>
          <w:p w14:paraId="4601EEF5">
            <w:pPr>
              <w:keepNext w:val="0"/>
              <w:keepLines w:val="0"/>
              <w:pageBreakBefore w:val="0"/>
              <w:widowControl/>
              <w:suppressLineNumbers w:val="0"/>
              <w:kinsoku/>
              <w:wordWrap/>
              <w:overflowPunct/>
              <w:topLinePunct w:val="0"/>
              <w:autoSpaceDN/>
              <w:bidi w:val="0"/>
              <w:adjustRightInd/>
              <w:jc w:val="center"/>
              <w:textAlignment w:val="center"/>
              <w:outlineLvl w:val="9"/>
              <w:rPr>
                <w:rFonts w:hint="eastAsia" w:ascii="仿宋" w:hAnsi="仿宋" w:eastAsia="仿宋" w:cs="仿宋"/>
                <w:b/>
                <w:i w:val="0"/>
                <w:color w:val="000000"/>
                <w:kern w:val="0"/>
                <w:sz w:val="21"/>
                <w:szCs w:val="21"/>
                <w:highlight w:val="none"/>
                <w:u w:val="none"/>
                <w:lang w:val="en-US" w:eastAsia="zh-CN" w:bidi="ar"/>
              </w:rPr>
            </w:pPr>
          </w:p>
        </w:tc>
      </w:tr>
      <w:tr w14:paraId="530FE4AB">
        <w:trPr>
          <w:trHeight w:val="90" w:hRule="atLeast"/>
          <w:jc w:val="center"/>
        </w:trPr>
        <w:tc>
          <w:tcPr>
            <w:tcW w:w="53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1F0180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91ECC0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连城县弘源投资管理有限公司</w:t>
            </w:r>
          </w:p>
        </w:tc>
        <w:tc>
          <w:tcPr>
            <w:tcW w:w="205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E8F7B1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2,361,375.00</w:t>
            </w:r>
          </w:p>
        </w:tc>
        <w:tc>
          <w:tcPr>
            <w:tcW w:w="127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1D2504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58,225.10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94195A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62CEA8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2,419,600.10</w:t>
            </w:r>
          </w:p>
        </w:tc>
        <w:tc>
          <w:tcPr>
            <w:tcW w:w="14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2474EF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2,200,520.00</w:t>
            </w:r>
          </w:p>
        </w:tc>
        <w:tc>
          <w:tcPr>
            <w:tcW w:w="13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5F6F18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57,052.59</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81425A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985914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2,257,572.59</w:t>
            </w:r>
          </w:p>
        </w:tc>
        <w:tc>
          <w:tcPr>
            <w:tcW w:w="54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6A5F0E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部分确认</w:t>
            </w:r>
          </w:p>
        </w:tc>
        <w:tc>
          <w:tcPr>
            <w:tcW w:w="5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47551F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普通债权</w:t>
            </w:r>
          </w:p>
        </w:tc>
        <w:tc>
          <w:tcPr>
            <w:tcW w:w="137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68115D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核减多申报的利息及已清偿款项后，依据生效法律文书对债权予以确认</w:t>
            </w:r>
          </w:p>
        </w:tc>
      </w:tr>
      <w:tr w14:paraId="3887B7F8">
        <w:trPr>
          <w:trHeight w:val="90" w:hRule="atLeast"/>
          <w:jc w:val="center"/>
        </w:trPr>
        <w:tc>
          <w:tcPr>
            <w:tcW w:w="53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F5AADB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50F6D5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连城县弘源投资管理有限公司</w:t>
            </w:r>
          </w:p>
        </w:tc>
        <w:tc>
          <w:tcPr>
            <w:tcW w:w="205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9BA595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27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2E4563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162,434.90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DBF0F5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B1274E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162,434.90</w:t>
            </w:r>
          </w:p>
        </w:tc>
        <w:tc>
          <w:tcPr>
            <w:tcW w:w="14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3D924D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B24A86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162,434.90</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A11C24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9B299E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162,434.90</w:t>
            </w:r>
          </w:p>
        </w:tc>
        <w:tc>
          <w:tcPr>
            <w:tcW w:w="54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43749C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全部确认</w:t>
            </w:r>
          </w:p>
        </w:tc>
        <w:tc>
          <w:tcPr>
            <w:tcW w:w="5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5D51CE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惩罚性债权</w:t>
            </w:r>
          </w:p>
        </w:tc>
        <w:tc>
          <w:tcPr>
            <w:tcW w:w="137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A753F8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依据生效法律文书对迟延履行期间加倍债务利息予以确认</w:t>
            </w:r>
          </w:p>
        </w:tc>
      </w:tr>
      <w:tr w14:paraId="20D5C80F">
        <w:trPr>
          <w:trHeight w:val="90" w:hRule="atLeast"/>
          <w:jc w:val="center"/>
        </w:trPr>
        <w:tc>
          <w:tcPr>
            <w:tcW w:w="53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07183E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1A6219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连城县城市管理和综合执法局</w:t>
            </w:r>
          </w:p>
        </w:tc>
        <w:tc>
          <w:tcPr>
            <w:tcW w:w="205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B5B191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352,884.00</w:t>
            </w:r>
          </w:p>
        </w:tc>
        <w:tc>
          <w:tcPr>
            <w:tcW w:w="127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EC5BE2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20,478.53</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6E8D59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788C37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373,362.53</w:t>
            </w:r>
          </w:p>
        </w:tc>
        <w:tc>
          <w:tcPr>
            <w:tcW w:w="14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C3D300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248,400.00</w:t>
            </w:r>
          </w:p>
        </w:tc>
        <w:tc>
          <w:tcPr>
            <w:tcW w:w="13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2F0644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12,467.06</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91E668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F89C1C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260,867.06</w:t>
            </w:r>
          </w:p>
        </w:tc>
        <w:tc>
          <w:tcPr>
            <w:tcW w:w="54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AB8FCC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部分确认</w:t>
            </w:r>
          </w:p>
        </w:tc>
        <w:tc>
          <w:tcPr>
            <w:tcW w:w="5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1D7102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普通债权</w:t>
            </w:r>
          </w:p>
        </w:tc>
        <w:tc>
          <w:tcPr>
            <w:tcW w:w="137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DCF301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核减多申报的利息后，依据生效法律文书对债权予以确认</w:t>
            </w:r>
          </w:p>
        </w:tc>
      </w:tr>
      <w:tr w14:paraId="28CB03F4">
        <w:trPr>
          <w:trHeight w:val="90" w:hRule="atLeast"/>
          <w:jc w:val="center"/>
        </w:trPr>
        <w:tc>
          <w:tcPr>
            <w:tcW w:w="53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5DB7E8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0FD63A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连城县城市管理和综合执法局</w:t>
            </w:r>
          </w:p>
        </w:tc>
        <w:tc>
          <w:tcPr>
            <w:tcW w:w="205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951D95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27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84FF2A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14,705.65</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2BEF5C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05C079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14,705.65</w:t>
            </w:r>
          </w:p>
        </w:tc>
        <w:tc>
          <w:tcPr>
            <w:tcW w:w="14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E08C0F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ED412A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14,705.65</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532DFB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E35E11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14,705.65</w:t>
            </w:r>
          </w:p>
        </w:tc>
        <w:tc>
          <w:tcPr>
            <w:tcW w:w="54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6CDA5A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全部确认</w:t>
            </w:r>
          </w:p>
        </w:tc>
        <w:tc>
          <w:tcPr>
            <w:tcW w:w="5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C43962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惩罚性债权</w:t>
            </w:r>
          </w:p>
        </w:tc>
        <w:tc>
          <w:tcPr>
            <w:tcW w:w="137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5B11F2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依据生效法律文书对迟延履行期间加倍债务利息予以确认</w:t>
            </w:r>
          </w:p>
        </w:tc>
      </w:tr>
      <w:tr w14:paraId="69E71FFB">
        <w:trPr>
          <w:trHeight w:val="90" w:hRule="atLeast"/>
          <w:jc w:val="center"/>
        </w:trPr>
        <w:tc>
          <w:tcPr>
            <w:tcW w:w="53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B0AE5C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58FFCB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连城县人民法院</w:t>
            </w:r>
          </w:p>
        </w:tc>
        <w:tc>
          <w:tcPr>
            <w:tcW w:w="205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CAF98D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26,256.13</w:t>
            </w:r>
          </w:p>
        </w:tc>
        <w:tc>
          <w:tcPr>
            <w:tcW w:w="127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1091D8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B0D25C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3B035F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26,256.13</w:t>
            </w:r>
          </w:p>
        </w:tc>
        <w:tc>
          <w:tcPr>
            <w:tcW w:w="14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F8991F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26,256.13</w:t>
            </w:r>
          </w:p>
        </w:tc>
        <w:tc>
          <w:tcPr>
            <w:tcW w:w="13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CCD6CF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27C97C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DCEA55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26,256.13</w:t>
            </w:r>
          </w:p>
        </w:tc>
        <w:tc>
          <w:tcPr>
            <w:tcW w:w="54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C8C192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全部确认</w:t>
            </w:r>
          </w:p>
        </w:tc>
        <w:tc>
          <w:tcPr>
            <w:tcW w:w="5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26D975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普通债权</w:t>
            </w:r>
          </w:p>
        </w:tc>
        <w:tc>
          <w:tcPr>
            <w:tcW w:w="137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C877AA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对债务人尚欠的诉讼费、执行费对债权予以确认</w:t>
            </w:r>
          </w:p>
        </w:tc>
      </w:tr>
      <w:tr w14:paraId="2E1FA701">
        <w:trPr>
          <w:trHeight w:val="90" w:hRule="atLeast"/>
          <w:jc w:val="center"/>
        </w:trPr>
        <w:tc>
          <w:tcPr>
            <w:tcW w:w="53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F21D47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w:t>
            </w: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9CD909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国家税务总局连城县税务局</w:t>
            </w:r>
          </w:p>
        </w:tc>
        <w:tc>
          <w:tcPr>
            <w:tcW w:w="205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BED481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126,784.73</w:t>
            </w:r>
          </w:p>
        </w:tc>
        <w:tc>
          <w:tcPr>
            <w:tcW w:w="127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62BDF1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D90ED0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A2A208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126,784.73</w:t>
            </w:r>
          </w:p>
        </w:tc>
        <w:tc>
          <w:tcPr>
            <w:tcW w:w="14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E4DEC9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126,784.73</w:t>
            </w:r>
          </w:p>
        </w:tc>
        <w:tc>
          <w:tcPr>
            <w:tcW w:w="13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83EF15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C42072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C0B78C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126,784.73</w:t>
            </w:r>
          </w:p>
        </w:tc>
        <w:tc>
          <w:tcPr>
            <w:tcW w:w="54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3C1EEC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全部确认</w:t>
            </w:r>
          </w:p>
        </w:tc>
        <w:tc>
          <w:tcPr>
            <w:tcW w:w="5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BB650A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税收债权</w:t>
            </w:r>
          </w:p>
        </w:tc>
        <w:tc>
          <w:tcPr>
            <w:tcW w:w="137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D56C9A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对债务人尚欠的增值税、企业所得税等税款予以确认</w:t>
            </w:r>
          </w:p>
          <w:p w14:paraId="1E42C88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C33357D">
        <w:trPr>
          <w:trHeight w:val="90" w:hRule="atLeast"/>
          <w:jc w:val="center"/>
        </w:trPr>
        <w:tc>
          <w:tcPr>
            <w:tcW w:w="53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85691D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w:t>
            </w: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90C442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国家税务总局连城县税务局</w:t>
            </w:r>
          </w:p>
        </w:tc>
        <w:tc>
          <w:tcPr>
            <w:tcW w:w="205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011FC6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27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7A4914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59,428.40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8D390B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08259E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59,428.40</w:t>
            </w:r>
          </w:p>
        </w:tc>
        <w:tc>
          <w:tcPr>
            <w:tcW w:w="14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A543C4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AA7045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59,428.40</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F8ACF0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CD69A5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59,428.40</w:t>
            </w:r>
          </w:p>
        </w:tc>
        <w:tc>
          <w:tcPr>
            <w:tcW w:w="54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7BAB49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全部确认</w:t>
            </w:r>
          </w:p>
        </w:tc>
        <w:tc>
          <w:tcPr>
            <w:tcW w:w="5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2534C2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普通债权</w:t>
            </w:r>
          </w:p>
        </w:tc>
        <w:tc>
          <w:tcPr>
            <w:tcW w:w="137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B995BC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对债务人尚欠的税款滞纳金予以确认</w:t>
            </w:r>
          </w:p>
          <w:p w14:paraId="5B28BF2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7AFE335">
        <w:trPr>
          <w:trHeight w:val="90" w:hRule="atLeast"/>
          <w:jc w:val="center"/>
        </w:trPr>
        <w:tc>
          <w:tcPr>
            <w:tcW w:w="53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7A0148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w:t>
            </w: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F3A035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国家税务总局连城县税务局</w:t>
            </w:r>
          </w:p>
        </w:tc>
        <w:tc>
          <w:tcPr>
            <w:tcW w:w="205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ABDF25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1,400.00</w:t>
            </w:r>
          </w:p>
        </w:tc>
        <w:tc>
          <w:tcPr>
            <w:tcW w:w="127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199933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9E36CB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DF9CD1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1,400.00</w:t>
            </w:r>
          </w:p>
        </w:tc>
        <w:tc>
          <w:tcPr>
            <w:tcW w:w="14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48DE9D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1,400.00</w:t>
            </w:r>
          </w:p>
        </w:tc>
        <w:tc>
          <w:tcPr>
            <w:tcW w:w="13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FC4BDD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46ECD8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DD5C3E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1,400.00</w:t>
            </w:r>
          </w:p>
        </w:tc>
        <w:tc>
          <w:tcPr>
            <w:tcW w:w="54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DAB1AD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全部确认</w:t>
            </w:r>
          </w:p>
        </w:tc>
        <w:tc>
          <w:tcPr>
            <w:tcW w:w="5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B2F541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惩罚性债权</w:t>
            </w:r>
          </w:p>
        </w:tc>
        <w:tc>
          <w:tcPr>
            <w:tcW w:w="137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6E8BF0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对债务人尚欠的税务部门罚没收入予以确认</w:t>
            </w:r>
          </w:p>
        </w:tc>
      </w:tr>
      <w:tr w14:paraId="19E7F8A9">
        <w:trPr>
          <w:trHeight w:val="90" w:hRule="atLeast"/>
          <w:jc w:val="center"/>
        </w:trPr>
        <w:tc>
          <w:tcPr>
            <w:tcW w:w="53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0B4544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118"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038569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福建省龙环环境工程有限公司连城分公司</w:t>
            </w:r>
          </w:p>
        </w:tc>
        <w:tc>
          <w:tcPr>
            <w:tcW w:w="205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9A9089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293,395.00</w:t>
            </w:r>
          </w:p>
        </w:tc>
        <w:tc>
          <w:tcPr>
            <w:tcW w:w="1274"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B895FF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48,306.00</w:t>
            </w:r>
          </w:p>
        </w:tc>
        <w:tc>
          <w:tcPr>
            <w:tcW w:w="104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940AE7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61"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0A1972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341,701.00</w:t>
            </w:r>
          </w:p>
        </w:tc>
        <w:tc>
          <w:tcPr>
            <w:tcW w:w="146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63053A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293,395.00</w:t>
            </w:r>
          </w:p>
        </w:tc>
        <w:tc>
          <w:tcPr>
            <w:tcW w:w="132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FFBEE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48,306.00</w:t>
            </w:r>
          </w:p>
        </w:tc>
        <w:tc>
          <w:tcPr>
            <w:tcW w:w="102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6CE11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8"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4D8FE4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341,701.00</w:t>
            </w:r>
          </w:p>
        </w:tc>
        <w:tc>
          <w:tcPr>
            <w:tcW w:w="54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0E98FC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全部确认</w:t>
            </w:r>
          </w:p>
        </w:tc>
        <w:tc>
          <w:tcPr>
            <w:tcW w:w="59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AFA1A2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普通债权</w:t>
            </w:r>
          </w:p>
        </w:tc>
        <w:tc>
          <w:tcPr>
            <w:tcW w:w="137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63B66B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依据生效法律文书对债权予以确认</w:t>
            </w:r>
          </w:p>
        </w:tc>
      </w:tr>
      <w:bookmarkEnd w:id="1"/>
    </w:tbl>
    <w:p w14:paraId="1C5AB879">
      <w:pPr>
        <w:keepNext w:val="0"/>
        <w:keepLines w:val="0"/>
        <w:widowControl/>
        <w:numPr>
          <w:ilvl w:val="0"/>
          <w:numId w:val="0"/>
        </w:numPr>
        <w:suppressLineNumbers w:val="0"/>
        <w:jc w:val="both"/>
        <w:textAlignment w:val="center"/>
        <w:outlineLvl w:val="9"/>
        <w:rPr>
          <w:rFonts w:hint="eastAsia" w:ascii="仿宋" w:hAnsi="仿宋" w:eastAsia="仿宋" w:cs="仿宋"/>
          <w:b w:val="0"/>
          <w:bCs/>
          <w:i w:val="0"/>
          <w:color w:val="auto"/>
          <w:kern w:val="0"/>
          <w:sz w:val="24"/>
          <w:szCs w:val="24"/>
          <w:highlight w:val="none"/>
          <w:u w:val="none"/>
          <w:lang w:val="en-US" w:eastAsia="zh-CN" w:bidi="ar"/>
        </w:rPr>
      </w:pPr>
      <w:bookmarkStart w:id="29" w:name="_GoBack"/>
      <w:bookmarkEnd w:id="29"/>
    </w:p>
    <w:p w14:paraId="2E80E0C3">
      <w:pPr>
        <w:widowControl/>
        <w:numPr>
          <w:ilvl w:val="255"/>
          <w:numId w:val="0"/>
        </w:numPr>
        <w:ind w:firstLine="562" w:firstLineChars="200"/>
        <w:jc w:val="left"/>
        <w:textAlignment w:val="center"/>
        <w:rPr>
          <w:rFonts w:ascii="仿宋" w:hAnsi="仿宋" w:eastAsia="仿宋" w:cs="仿宋"/>
          <w:b/>
          <w:bCs/>
          <w:color w:val="000000"/>
          <w:kern w:val="0"/>
          <w:szCs w:val="21"/>
          <w:lang w:bidi="ar"/>
        </w:rPr>
      </w:pPr>
    </w:p>
    <w:p w14:paraId="6233FFA1">
      <w:pPr>
        <w:pStyle w:val="2"/>
        <w:spacing w:before="312" w:after="157" w:line="240" w:lineRule="auto"/>
        <w:rPr>
          <w:rFonts w:hint="eastAsia"/>
          <w:highlight w:val="none"/>
          <w:lang w:eastAsia="zh-CN"/>
        </w:rPr>
      </w:pPr>
    </w:p>
    <w:p w14:paraId="6116569A">
      <w:pPr>
        <w:pStyle w:val="2"/>
        <w:spacing w:before="312" w:after="157" w:line="240" w:lineRule="auto"/>
        <w:rPr>
          <w:rFonts w:hint="eastAsia"/>
          <w:highlight w:val="none"/>
          <w:lang w:eastAsia="zh-CN"/>
        </w:rPr>
      </w:pPr>
    </w:p>
    <w:p w14:paraId="261A3823">
      <w:pPr>
        <w:pStyle w:val="2"/>
        <w:spacing w:before="312" w:after="157" w:line="240" w:lineRule="auto"/>
        <w:rPr>
          <w:rFonts w:hint="eastAsia"/>
          <w:highlight w:val="none"/>
          <w:lang w:eastAsia="zh-CN"/>
        </w:rPr>
      </w:pPr>
    </w:p>
    <w:p w14:paraId="26A656A5">
      <w:pPr>
        <w:pStyle w:val="2"/>
        <w:spacing w:before="312" w:after="157" w:line="240" w:lineRule="auto"/>
        <w:rPr>
          <w:rFonts w:hint="eastAsia"/>
          <w:highlight w:val="none"/>
          <w:lang w:eastAsia="zh-CN"/>
        </w:rPr>
      </w:pPr>
    </w:p>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14:paraId="520F00B4">
      <w:pPr>
        <w:keepNext w:val="0"/>
        <w:keepLines w:val="0"/>
        <w:widowControl/>
        <w:numPr>
          <w:ilvl w:val="0"/>
          <w:numId w:val="0"/>
        </w:numPr>
        <w:suppressLineNumbers w:val="0"/>
        <w:jc w:val="both"/>
        <w:textAlignment w:val="center"/>
        <w:outlineLvl w:val="9"/>
        <w:rPr>
          <w:rFonts w:hint="eastAsia" w:ascii="黑体" w:hAnsi="黑体" w:eastAsia="黑体" w:cs="黑体"/>
          <w:b/>
          <w:bCs/>
          <w:spacing w:val="0"/>
          <w:sz w:val="40"/>
          <w:szCs w:val="44"/>
          <w:highlight w:val="none"/>
          <w:lang w:eastAsia="zh-CN"/>
        </w:rPr>
        <w:sectPr>
          <w:pgSz w:w="16838" w:h="11906" w:orient="landscape"/>
          <w:pgMar w:top="1797" w:right="1440" w:bottom="1797" w:left="1440" w:header="737" w:footer="992" w:gutter="0"/>
          <w:pgBorders>
            <w:top w:val="none" w:sz="0" w:space="0"/>
            <w:left w:val="none" w:sz="0" w:space="0"/>
            <w:bottom w:val="none" w:sz="0" w:space="0"/>
            <w:right w:val="none" w:sz="0" w:space="0"/>
          </w:pgBorders>
          <w:pgNumType w:fmt="decimal"/>
          <w:cols w:space="720" w:num="1"/>
          <w:docGrid w:linePitch="312" w:charSpace="0"/>
        </w:sectPr>
      </w:pPr>
    </w:p>
    <w:p w14:paraId="4197FB09">
      <w:pPr>
        <w:pStyle w:val="3"/>
        <w:jc w:val="distribute"/>
        <w:rPr>
          <w:rFonts w:hint="eastAsia"/>
          <w:sz w:val="44"/>
          <w:szCs w:val="44"/>
          <w:lang w:val="en-US" w:eastAsia="zh-CN"/>
        </w:rPr>
      </w:pPr>
      <w:r>
        <w:rPr>
          <w:rFonts w:hint="eastAsia"/>
          <w:sz w:val="44"/>
          <w:szCs w:val="44"/>
          <w:lang w:val="en-US" w:eastAsia="zh-CN"/>
        </w:rPr>
        <w:t>连城县林坊农贸市场管理服务有限公司</w:t>
      </w:r>
    </w:p>
    <w:p w14:paraId="1EDBF3B4">
      <w:pPr>
        <w:pStyle w:val="3"/>
        <w:jc w:val="center"/>
        <w:rPr>
          <w:sz w:val="44"/>
          <w:szCs w:val="44"/>
        </w:rPr>
      </w:pPr>
      <w:r>
        <w:rPr>
          <w:rFonts w:hint="eastAsia"/>
          <w:sz w:val="44"/>
          <w:szCs w:val="44"/>
          <w:lang w:val="en-US" w:eastAsia="zh-Hans"/>
        </w:rPr>
        <w:t>债务人</w:t>
      </w:r>
      <w:r>
        <w:rPr>
          <w:rFonts w:hint="eastAsia"/>
          <w:sz w:val="44"/>
          <w:szCs w:val="44"/>
        </w:rPr>
        <w:t>债权核</w:t>
      </w:r>
      <w:r>
        <w:rPr>
          <w:rFonts w:hint="eastAsia"/>
          <w:sz w:val="44"/>
          <w:szCs w:val="44"/>
          <w:lang w:val="en-US" w:eastAsia="zh-Hans"/>
        </w:rPr>
        <w:t>对</w:t>
      </w:r>
      <w:r>
        <w:rPr>
          <w:rFonts w:hint="eastAsia"/>
          <w:sz w:val="44"/>
          <w:szCs w:val="44"/>
        </w:rPr>
        <w:t>表</w:t>
      </w:r>
    </w:p>
    <w:tbl>
      <w:tblPr>
        <w:tblStyle w:val="8"/>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0"/>
      </w:tblGrid>
      <w:tr w14:paraId="743424BC">
        <w:trPr>
          <w:trHeight w:val="734" w:hRule="atLeast"/>
        </w:trPr>
        <w:tc>
          <w:tcPr>
            <w:tcW w:w="8720" w:type="dxa"/>
            <w:noWrap w:val="0"/>
            <w:vAlign w:val="center"/>
          </w:tcPr>
          <w:p w14:paraId="07938FDF">
            <w:pPr>
              <w:jc w:val="center"/>
              <w:rPr>
                <w:rFonts w:hint="default"/>
                <w:vertAlign w:val="baseline"/>
                <w:lang w:val="en-US" w:eastAsia="zh-CN"/>
              </w:rPr>
            </w:pPr>
            <w:r>
              <w:rPr>
                <w:rFonts w:hint="eastAsia" w:ascii="宋体" w:hAnsi="宋体"/>
                <w:sz w:val="24"/>
              </w:rPr>
              <w:t>对《债权表》中记载的债权编号第</w:t>
            </w:r>
            <w:r>
              <w:rPr>
                <w:rFonts w:ascii="宋体" w:hAnsi="宋体"/>
                <w:sz w:val="24"/>
                <w:u w:val="single"/>
              </w:rPr>
              <w:t xml:space="preserve">    </w:t>
            </w:r>
            <w:r>
              <w:rPr>
                <w:rFonts w:hint="eastAsia" w:ascii="宋体" w:hAnsi="宋体"/>
                <w:sz w:val="24"/>
                <w:u w:val="single"/>
                <w:lang w:val="en-US" w:eastAsia="zh-CN"/>
              </w:rPr>
              <w:t xml:space="preserve">              </w:t>
            </w:r>
            <w:r>
              <w:rPr>
                <w:rFonts w:ascii="宋体" w:hAnsi="宋体"/>
                <w:sz w:val="24"/>
                <w:u w:val="single"/>
              </w:rPr>
              <w:t xml:space="preserve">   </w:t>
            </w:r>
            <w:r>
              <w:rPr>
                <w:rFonts w:hint="eastAsia" w:ascii="宋体" w:hAnsi="宋体"/>
                <w:sz w:val="24"/>
              </w:rPr>
              <w:t>号债权</w:t>
            </w:r>
            <w:r>
              <w:rPr>
                <w:rFonts w:hint="eastAsia" w:ascii="宋体" w:hAnsi="宋体"/>
                <w:sz w:val="24"/>
                <w:lang w:eastAsia="zh-CN"/>
              </w:rPr>
              <w:t>审查</w:t>
            </w:r>
            <w:r>
              <w:rPr>
                <w:rFonts w:hint="eastAsia" w:ascii="宋体" w:hAnsi="宋体"/>
                <w:sz w:val="24"/>
              </w:rPr>
              <w:t>结果有异议</w:t>
            </w:r>
          </w:p>
        </w:tc>
      </w:tr>
      <w:tr w14:paraId="663436DB">
        <w:trPr>
          <w:trHeight w:val="8119" w:hRule="atLeast"/>
        </w:trPr>
        <w:tc>
          <w:tcPr>
            <w:tcW w:w="8720" w:type="dxa"/>
            <w:noWrap w:val="0"/>
            <w:vAlign w:val="top"/>
          </w:tcPr>
          <w:p w14:paraId="5378797B">
            <w:pPr>
              <w:tabs>
                <w:tab w:val="left" w:pos="3373"/>
              </w:tabs>
              <w:bidi w:val="0"/>
              <w:jc w:val="both"/>
              <w:rPr>
                <w:rFonts w:hint="eastAsia"/>
                <w:lang w:val="en-US" w:eastAsia="zh-CN"/>
              </w:rPr>
            </w:pPr>
          </w:p>
          <w:p w14:paraId="79DCD7CD">
            <w:pPr>
              <w:tabs>
                <w:tab w:val="left" w:pos="3373"/>
              </w:tabs>
              <w:bidi w:val="0"/>
              <w:jc w:val="both"/>
              <w:rPr>
                <w:rFonts w:hint="default"/>
                <w:lang w:val="en-US" w:eastAsia="zh-CN"/>
              </w:rPr>
            </w:pPr>
            <w:r>
              <w:rPr>
                <w:rFonts w:hint="eastAsia"/>
                <w:lang w:val="en-US" w:eastAsia="zh-CN"/>
              </w:rPr>
              <w:t>事实与理由：</w:t>
            </w:r>
          </w:p>
        </w:tc>
      </w:tr>
      <w:tr w14:paraId="531E109D">
        <w:trPr>
          <w:trHeight w:val="883" w:hRule="atLeast"/>
        </w:trPr>
        <w:tc>
          <w:tcPr>
            <w:tcW w:w="8720" w:type="dxa"/>
            <w:noWrap w:val="0"/>
            <w:vAlign w:val="top"/>
          </w:tcPr>
          <w:p w14:paraId="215D0251">
            <w:pPr>
              <w:wordWrap w:val="0"/>
              <w:spacing w:line="480" w:lineRule="auto"/>
              <w:ind w:firstLine="5320" w:firstLineChars="1900"/>
              <w:jc w:val="both"/>
              <w:rPr>
                <w:rFonts w:hint="default"/>
                <w:vertAlign w:val="baseline"/>
                <w:lang w:val="en-US" w:eastAsia="zh-CN"/>
              </w:rPr>
            </w:pPr>
            <w:r>
              <w:rPr>
                <w:rFonts w:hint="eastAsia"/>
                <w:vertAlign w:val="baseline"/>
                <w:lang w:val="en-US" w:eastAsia="zh-CN"/>
              </w:rPr>
              <w:t xml:space="preserve">签字：                </w:t>
            </w:r>
          </w:p>
          <w:p w14:paraId="5B8308E8">
            <w:pPr>
              <w:wordWrap w:val="0"/>
              <w:spacing w:line="480" w:lineRule="auto"/>
              <w:ind w:firstLine="5320" w:firstLineChars="1900"/>
              <w:jc w:val="both"/>
              <w:rPr>
                <w:rFonts w:hint="default"/>
                <w:vertAlign w:val="baseline"/>
                <w:lang w:val="en-US" w:eastAsia="zh-CN"/>
              </w:rPr>
            </w:pPr>
            <w:r>
              <w:rPr>
                <w:rFonts w:hint="eastAsia"/>
                <w:vertAlign w:val="baseline"/>
                <w:lang w:val="en-US" w:eastAsia="zh-CN"/>
              </w:rPr>
              <w:t xml:space="preserve">日期：                </w:t>
            </w:r>
          </w:p>
        </w:tc>
      </w:tr>
    </w:tbl>
    <w:p w14:paraId="0A610C3A">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jc w:val="both"/>
        <w:textAlignment w:val="auto"/>
        <w:outlineLvl w:val="9"/>
        <w:rPr>
          <w:rFonts w:hint="eastAsia" w:ascii="仿宋_GB2312" w:hAnsi="华文仿宋" w:eastAsia="仿宋_GB2312" w:cs="Times New Roman"/>
          <w:b w:val="0"/>
          <w:kern w:val="2"/>
          <w:sz w:val="28"/>
          <w:szCs w:val="28"/>
          <w:lang w:val="en-US" w:eastAsia="zh-Hans"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仿宋-简"/>
    <w:panose1 w:val="02010609060101010101"/>
    <w:charset w:val="86"/>
    <w:family w:val="auto"/>
    <w:pitch w:val="default"/>
    <w:sig w:usb0="00000000" w:usb1="00000000" w:usb2="00000016" w:usb3="00000000" w:csb0="00040001" w:csb1="00000000"/>
  </w:font>
  <w:font w:name="仿宋-简">
    <w:panose1 w:val="02010609060101010101"/>
    <w:charset w:val="86"/>
    <w:family w:val="auto"/>
    <w:pitch w:val="default"/>
    <w:sig w:usb0="A00002BF" w:usb1="3A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Kingsoft Sign">
    <w:panose1 w:val="05050102010706020507"/>
    <w:charset w:val="00"/>
    <w:family w:val="auto"/>
    <w:pitch w:val="default"/>
    <w:sig w:usb0="00000000" w:usb1="1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4DB80">
    <w:pPr>
      <w:spacing w:line="1077" w:lineRule="exact"/>
      <w:ind w:left="-4" w:leftChars="-4" w:right="-67" w:rightChars="-24" w:hanging="7" w:hangingChars="2"/>
      <w:jc w:val="distribute"/>
      <w:rPr>
        <w:rFonts w:hint="eastAsia" w:ascii="方正小标宋简体" w:eastAsia="方正小标宋简体"/>
        <w:sz w:val="36"/>
        <w:szCs w:val="36"/>
      </w:rPr>
    </w:pPr>
    <w:r>
      <w:rPr>
        <w:rFonts w:hint="eastAsia" w:eastAsia="方正小标宋简体"/>
        <w:bCs/>
        <w:color w:val="FF0000"/>
        <w:spacing w:val="10"/>
        <w:w w:val="90"/>
        <w:sz w:val="40"/>
        <w:szCs w:val="40"/>
        <w:lang w:eastAsia="zh-CN"/>
      </w:rPr>
      <w:t>连城县林坊农贸市场管理服务有限公司管理人</w:t>
    </w:r>
  </w:p>
  <w:p w14:paraId="343B3BA4">
    <w:pPr>
      <w:pStyle w:val="6"/>
      <w:pBdr>
        <w:bottom w:val="none" w:color="auto" w:sz="0" w:space="1"/>
      </w:pBdr>
      <w:jc w:val="center"/>
      <w:rPr>
        <w:rFonts w:hint="default"/>
        <w:b/>
        <w:bCs/>
        <w:sz w:val="13"/>
        <w:szCs w:val="13"/>
        <w:lang w:val="en-US" w:eastAsia="zh-CN"/>
      </w:rPr>
    </w:pPr>
  </w:p>
  <w:p w14:paraId="654E9D3A">
    <w:pPr>
      <w:pStyle w:val="6"/>
      <w:pBdr>
        <w:bottom w:val="none" w:color="auto" w:sz="0" w:space="1"/>
      </w:pBdr>
      <w:rPr>
        <w:rFonts w:hint="eastAsia"/>
        <w:lang w:eastAsia="zh-CN"/>
      </w:rPr>
    </w:pPr>
    <w:r>
      <w:rPr>
        <w:rFonts w:hint="eastAsia" w:ascii="方正小标宋简体" w:eastAsia="方正小标宋简体"/>
        <w:sz w:val="44"/>
        <w:szCs w:val="44"/>
      </w:rPr>
      <mc:AlternateContent>
        <mc:Choice Requires="wps">
          <w:drawing>
            <wp:anchor distT="71755" distB="0" distL="114300" distR="114300" simplePos="0" relativeHeight="251659264" behindDoc="0" locked="0" layoutInCell="1" allowOverlap="1">
              <wp:simplePos x="0" y="0"/>
              <wp:positionH relativeFrom="page">
                <wp:posOffset>806450</wp:posOffset>
              </wp:positionH>
              <wp:positionV relativeFrom="margin">
                <wp:posOffset>-192405</wp:posOffset>
              </wp:positionV>
              <wp:extent cx="8884285" cy="0"/>
              <wp:effectExtent l="0" t="28575" r="5715" b="47625"/>
              <wp:wrapTopAndBottom/>
              <wp:docPr id="1" name="直接连接符 1"/>
              <wp:cNvGraphicFramePr/>
              <a:graphic xmlns:a="http://schemas.openxmlformats.org/drawingml/2006/main">
                <a:graphicData uri="http://schemas.microsoft.com/office/word/2010/wordprocessingShape">
                  <wps:wsp>
                    <wps:cNvCnPr/>
                    <wps:spPr>
                      <a:xfrm>
                        <a:off x="0" y="0"/>
                        <a:ext cx="8884285" cy="0"/>
                      </a:xfrm>
                      <a:prstGeom prst="line">
                        <a:avLst/>
                      </a:prstGeom>
                      <a:ln w="57150" cap="flat" cmpd="thickThin">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63.5pt;margin-top:-15.15pt;height:0pt;width:699.55pt;mso-position-horizontal-relative:page;mso-position-vertical-relative:margin;mso-wrap-distance-bottom:0pt;mso-wrap-distance-top:5.65pt;z-index:251659264;mso-width-relative:page;mso-height-relative:page;" filled="f" stroked="t" coordsize="21600,21600" o:gfxdata="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Nwa0SvVAAAADAEAAA8AAAAAAAAAAQAgAAAAIgAAAGRycy9kb3ducmV2Lnht&#10;bFBLAQIUABQAAAAIAIdO4kCYsJ2g/AEAAOsDAAAOAAAAAAAAAAEAIAAAACQBAABkcnMvZTJvRG9j&#10;LnhtbFBLBQYAAAAABgAGAFkBAACSBQAAAAA=&#10;">
              <v:fill on="f" focussize="0,0"/>
              <v:stroke weight="4.5pt" color="#FF0000" linestyle="thickThin" joinstyle="round"/>
              <v:imagedata o:title=""/>
              <o:lock v:ext="edit" aspectratio="f"/>
              <w10:wrap type="topAndBottom"/>
            </v:line>
          </w:pict>
        </mc:Fallback>
      </mc:AlternateContent>
    </w:r>
  </w:p>
  <w:p w14:paraId="3920558B">
    <w:pPr>
      <w:pStyle w:val="6"/>
      <w:rPr>
        <w:rFonts w:hint="eastAsia"/>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539"/>
    <w:multiLevelType w:val="singleLevel"/>
    <w:tmpl w:val="FFFFF539"/>
    <w:lvl w:ilvl="0" w:tentative="0">
      <w:start w:val="2026"/>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VjNzczNTJhZTE2N2I0ZmJlOThiYWU2YWI4OTRmYzYifQ=="/>
    <w:docVar w:name="KSO_WPS_MARK_KEY" w:val="b6ddaf95-dab2-45d1-8081-2e802e8cee24"/>
  </w:docVars>
  <w:rsids>
    <w:rsidRoot w:val="00172A27"/>
    <w:rsid w:val="02061E43"/>
    <w:rsid w:val="027950A0"/>
    <w:rsid w:val="043F6DC8"/>
    <w:rsid w:val="05673DAD"/>
    <w:rsid w:val="056B1570"/>
    <w:rsid w:val="079A2552"/>
    <w:rsid w:val="083237FC"/>
    <w:rsid w:val="08A52FEB"/>
    <w:rsid w:val="097F1E8C"/>
    <w:rsid w:val="0A142089"/>
    <w:rsid w:val="0B560953"/>
    <w:rsid w:val="0C4B5C16"/>
    <w:rsid w:val="0C745A9A"/>
    <w:rsid w:val="0CE7073F"/>
    <w:rsid w:val="0D020A0B"/>
    <w:rsid w:val="0E1427C0"/>
    <w:rsid w:val="0E171886"/>
    <w:rsid w:val="0EAD05D0"/>
    <w:rsid w:val="0EE522DB"/>
    <w:rsid w:val="117A57E3"/>
    <w:rsid w:val="12745F08"/>
    <w:rsid w:val="13250FB0"/>
    <w:rsid w:val="14B01AF0"/>
    <w:rsid w:val="15B6222E"/>
    <w:rsid w:val="17AB39D3"/>
    <w:rsid w:val="181071AC"/>
    <w:rsid w:val="19052AAF"/>
    <w:rsid w:val="191C52A8"/>
    <w:rsid w:val="19FD67E3"/>
    <w:rsid w:val="1B2D4345"/>
    <w:rsid w:val="1C4D191D"/>
    <w:rsid w:val="1CCC2E22"/>
    <w:rsid w:val="1D412E8A"/>
    <w:rsid w:val="1D9D0553"/>
    <w:rsid w:val="1EF36A8B"/>
    <w:rsid w:val="1FE56DE3"/>
    <w:rsid w:val="20D44015"/>
    <w:rsid w:val="21B960D2"/>
    <w:rsid w:val="21CB3A0E"/>
    <w:rsid w:val="21E54DB1"/>
    <w:rsid w:val="2237485C"/>
    <w:rsid w:val="23023104"/>
    <w:rsid w:val="25A72537"/>
    <w:rsid w:val="262D48F3"/>
    <w:rsid w:val="27816E34"/>
    <w:rsid w:val="27FF723F"/>
    <w:rsid w:val="28BE76A5"/>
    <w:rsid w:val="2A7523C5"/>
    <w:rsid w:val="2B566B28"/>
    <w:rsid w:val="32C45A51"/>
    <w:rsid w:val="33570E46"/>
    <w:rsid w:val="33A81036"/>
    <w:rsid w:val="33AB4A62"/>
    <w:rsid w:val="33BD33EB"/>
    <w:rsid w:val="33EF2883"/>
    <w:rsid w:val="36126D79"/>
    <w:rsid w:val="38DF5965"/>
    <w:rsid w:val="3A014937"/>
    <w:rsid w:val="3A105485"/>
    <w:rsid w:val="3A6C6EB6"/>
    <w:rsid w:val="3B122E7E"/>
    <w:rsid w:val="3CDF6400"/>
    <w:rsid w:val="3DDF1A57"/>
    <w:rsid w:val="3E9265FB"/>
    <w:rsid w:val="409F0703"/>
    <w:rsid w:val="41F83BB0"/>
    <w:rsid w:val="435718DF"/>
    <w:rsid w:val="44055877"/>
    <w:rsid w:val="44802EB5"/>
    <w:rsid w:val="4551636C"/>
    <w:rsid w:val="478D0C4E"/>
    <w:rsid w:val="489B47BB"/>
    <w:rsid w:val="49367ADC"/>
    <w:rsid w:val="4A394D65"/>
    <w:rsid w:val="4BBF1485"/>
    <w:rsid w:val="4C0575F5"/>
    <w:rsid w:val="4C5345AF"/>
    <w:rsid w:val="4C5B4AC8"/>
    <w:rsid w:val="4D192DD4"/>
    <w:rsid w:val="4D3F4625"/>
    <w:rsid w:val="4DB932D4"/>
    <w:rsid w:val="4E751ACC"/>
    <w:rsid w:val="4F2545E5"/>
    <w:rsid w:val="4FF260E2"/>
    <w:rsid w:val="4FF6D209"/>
    <w:rsid w:val="50670A52"/>
    <w:rsid w:val="52D61563"/>
    <w:rsid w:val="537B4906"/>
    <w:rsid w:val="540F0813"/>
    <w:rsid w:val="54371514"/>
    <w:rsid w:val="558C6691"/>
    <w:rsid w:val="55FB216C"/>
    <w:rsid w:val="576D0AD3"/>
    <w:rsid w:val="591A2BA2"/>
    <w:rsid w:val="5B354B4F"/>
    <w:rsid w:val="5B557525"/>
    <w:rsid w:val="5C24527D"/>
    <w:rsid w:val="5C8818DD"/>
    <w:rsid w:val="5DF4767B"/>
    <w:rsid w:val="5E313191"/>
    <w:rsid w:val="5E343D6A"/>
    <w:rsid w:val="5E40270F"/>
    <w:rsid w:val="5ED846F5"/>
    <w:rsid w:val="5F28521A"/>
    <w:rsid w:val="5FF62E4B"/>
    <w:rsid w:val="609964FE"/>
    <w:rsid w:val="614D5DDD"/>
    <w:rsid w:val="64260681"/>
    <w:rsid w:val="64C404E0"/>
    <w:rsid w:val="67056738"/>
    <w:rsid w:val="67822460"/>
    <w:rsid w:val="678D782E"/>
    <w:rsid w:val="690A5DF3"/>
    <w:rsid w:val="6B063579"/>
    <w:rsid w:val="6BFB7C75"/>
    <w:rsid w:val="6EE26368"/>
    <w:rsid w:val="6F7E6BF3"/>
    <w:rsid w:val="70AB374F"/>
    <w:rsid w:val="713779A1"/>
    <w:rsid w:val="721B4BCD"/>
    <w:rsid w:val="7322167A"/>
    <w:rsid w:val="73883B7D"/>
    <w:rsid w:val="74A86F2F"/>
    <w:rsid w:val="74AA1E66"/>
    <w:rsid w:val="74BE5EA9"/>
    <w:rsid w:val="7574395E"/>
    <w:rsid w:val="7637345C"/>
    <w:rsid w:val="76774012"/>
    <w:rsid w:val="771F2BE3"/>
    <w:rsid w:val="7816799E"/>
    <w:rsid w:val="78285131"/>
    <w:rsid w:val="7A2825F7"/>
    <w:rsid w:val="7A5B438C"/>
    <w:rsid w:val="7A752A91"/>
    <w:rsid w:val="7C375D79"/>
    <w:rsid w:val="7CB43C54"/>
    <w:rsid w:val="7DDFC838"/>
    <w:rsid w:val="7F62291F"/>
    <w:rsid w:val="EFF484D5"/>
    <w:rsid w:val="F9FF348C"/>
    <w:rsid w:val="FBF33429"/>
    <w:rsid w:val="FBFB5BA1"/>
    <w:rsid w:val="FDFF27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宋体-简" w:asciiTheme="minorAscii" w:hAnsiTheme="minorAscii" w:eastAsiaTheme="minorEastAsia"/>
      <w:kern w:val="2"/>
      <w:sz w:val="28"/>
      <w:szCs w:val="28"/>
      <w:lang w:val="en-US" w:eastAsia="zh-CN" w:bidi="ar-SA"/>
    </w:rPr>
  </w:style>
  <w:style w:type="paragraph" w:styleId="2">
    <w:name w:val="heading 1"/>
    <w:basedOn w:val="1"/>
    <w:next w:val="1"/>
    <w:qFormat/>
    <w:uiPriority w:val="9"/>
    <w:pPr>
      <w:keepNext/>
      <w:keepLines/>
      <w:spacing w:before="100" w:beforeLines="100" w:after="50" w:afterLines="50"/>
      <w:jc w:val="center"/>
      <w:outlineLvl w:val="0"/>
    </w:pPr>
    <w:rPr>
      <w:rFonts w:eastAsia="黑体"/>
      <w:b/>
      <w:bCs/>
      <w:kern w:val="44"/>
      <w:sz w:val="44"/>
      <w:szCs w:val="44"/>
    </w:rPr>
  </w:style>
  <w:style w:type="paragraph" w:styleId="3">
    <w:name w:val="heading 2"/>
    <w:basedOn w:val="1"/>
    <w:next w:val="1"/>
    <w:autoRedefine/>
    <w:unhideWhenUsed/>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autoRedefine/>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9">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889</Words>
  <Characters>1095</Characters>
  <Lines>0</Lines>
  <Paragraphs>0</Paragraphs>
  <TotalTime>0</TotalTime>
  <ScaleCrop>false</ScaleCrop>
  <LinksUpToDate>false</LinksUpToDate>
  <CharactersWithSpaces>1150</CharactersWithSpaces>
  <Application>WPS Office_12.1.26055.26055_F1E327BC-269C-435d-A152-05C5408002CA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2021-10-27T10:03:00Z</dcterms:created>
  <dc:creator>ζ</dc:creator>
  <cp:lastModifiedBy>小玲玲</cp:lastModifiedBy>
  <dcterms:modified xsi:type="dcterms:W3CDTF">2026-09-05T16:17:27Z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2052-12.1.26055.26055</vt:lpwstr>
  </property>
  <property fmtid="{D5CDD505-2E9C-101B-9397-08002B2CF9AE}" pid="3" name="ICV">
    <vt:lpwstr>0CB5296F87224FA4991A7DC24EE7C1D1</vt:lpwstr>
  </property>
  <property fmtid="{D5CDD505-2E9C-101B-9397-08002B2CF9AE}" pid="4" name="KSOTemplateDocerSaveRecord">
    <vt:lpwstr>eyJoZGlkIjoiYjFjYmZhNzI0YjI0NWE0YmY2Njc0MWUxOTU5N2MwZDciLCJ1c2VySWQiOiIzNzgwMzQzNzgifQ==</vt:lpwstr>
  </property>
</Properties>
</file>