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E03B8">
      <w:pPr>
        <w:keepNext w:val="0"/>
        <w:keepLines w:val="0"/>
        <w:pageBreakBefore w:val="0"/>
        <w:widowControl w:val="0"/>
        <w:kinsoku/>
        <w:wordWrap/>
        <w:overflowPunct/>
        <w:topLinePunct w:val="0"/>
        <w:autoSpaceDE/>
        <w:autoSpaceDN/>
        <w:bidi w:val="0"/>
        <w:adjustRightInd/>
        <w:snapToGrid/>
        <w:spacing w:before="211" w:beforeLines="50" w:after="50" w:line="600" w:lineRule="exact"/>
        <w:jc w:val="center"/>
        <w:textAlignment w:val="auto"/>
        <w:rPr>
          <w:rFonts w:hint="eastAsia" w:ascii="方正小标宋简体" w:hAnsi="方正小标宋简体" w:eastAsia="方正小标宋简体" w:cs="方正小标宋简体"/>
          <w:b/>
          <w:sz w:val="48"/>
          <w:szCs w:val="48"/>
          <w:lang w:val="en-US" w:eastAsia="zh-CN"/>
        </w:rPr>
      </w:pPr>
      <w:r>
        <w:rPr>
          <w:rFonts w:hint="eastAsia" w:ascii="方正小标宋简体" w:hAnsi="方正小标宋简体" w:eastAsia="方正小标宋简体" w:cs="方正小标宋简体"/>
          <w:b/>
          <w:sz w:val="48"/>
          <w:szCs w:val="48"/>
          <w:lang w:val="en-US" w:eastAsia="zh-CN"/>
        </w:rPr>
        <w:t>告 知 书</w:t>
      </w:r>
    </w:p>
    <w:p w14:paraId="1DF4052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right="0" w:rightChars="0"/>
        <w:jc w:val="right"/>
        <w:textAlignment w:val="auto"/>
        <w:outlineLvl w:val="9"/>
        <w:rPr>
          <w:rFonts w:hint="eastAsia" w:ascii="仿宋_GB2312" w:hAnsi="仿宋_GB2312" w:eastAsia="仿宋_GB2312" w:cs="仿宋_GB2312"/>
          <w:b w:val="0"/>
          <w:kern w:val="2"/>
          <w:sz w:val="28"/>
          <w:szCs w:val="28"/>
          <w:lang w:val="en-US" w:eastAsia="zh-CN" w:bidi="ar-SA"/>
        </w:rPr>
      </w:pPr>
      <w:r>
        <w:rPr>
          <w:rFonts w:hint="eastAsia" w:ascii="仿宋_GB2312" w:hAnsi="仿宋_GB2312" w:eastAsia="仿宋_GB2312" w:cs="仿宋_GB2312"/>
          <w:b w:val="0"/>
          <w:kern w:val="2"/>
          <w:sz w:val="28"/>
          <w:szCs w:val="28"/>
          <w:lang w:val="en-US" w:eastAsia="zh-CN" w:bidi="ar-SA"/>
        </w:rPr>
        <w:t>森莱信息破管字第18号</w:t>
      </w:r>
    </w:p>
    <w:p w14:paraId="1E1C38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kern w:val="2"/>
          <w:sz w:val="28"/>
          <w:szCs w:val="28"/>
          <w:lang w:val="en-US" w:eastAsia="zh-CN" w:bidi="ar-SA"/>
        </w:rPr>
      </w:pPr>
      <w:r>
        <w:rPr>
          <w:rFonts w:hint="eastAsia" w:ascii="仿宋_GB2312" w:hAnsi="仿宋_GB2312" w:eastAsia="仿宋_GB2312" w:cs="仿宋_GB2312"/>
          <w:b w:val="0"/>
          <w:kern w:val="2"/>
          <w:sz w:val="28"/>
          <w:szCs w:val="28"/>
          <w:lang w:val="en-US" w:eastAsia="zh-CN" w:bidi="ar-SA"/>
        </w:rPr>
        <w:t>福建森莱信息技术有限公司及其法定代表人、股东：</w:t>
      </w:r>
    </w:p>
    <w:p w14:paraId="6C182C3F">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2026年7月6日，福建省屏南县人民法院作出（2026）闽0923破申1号民事裁定书，裁定受理国家税务总局宁德市税务局稽查局对福建森莱信息技术有限公司（以下简称“债务人”或“森莱公司”）的破产清算申请，并于同日作出（2026）闽0923破申1号决定书，指定福建省京闽清算服务有限公司宁德分公司担任福建森莱信息技术有限公司管理人（以下简称“管理人”）。</w:t>
      </w:r>
    </w:p>
    <w:p w14:paraId="1BDCC30C">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eastAsia="zh-CN"/>
        </w:rPr>
        <w:t>截至2026年</w:t>
      </w: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lang w:eastAsia="zh-CN"/>
        </w:rPr>
        <w:t>月</w:t>
      </w:r>
      <w:r>
        <w:rPr>
          <w:rFonts w:hint="eastAsia" w:ascii="仿宋_GB2312" w:hAnsi="仿宋_GB2312" w:eastAsia="仿宋_GB2312" w:cs="仿宋_GB2312"/>
          <w:color w:val="auto"/>
          <w:sz w:val="28"/>
          <w:szCs w:val="28"/>
          <w:highlight w:val="none"/>
          <w:lang w:val="en-US" w:eastAsia="zh-CN"/>
        </w:rPr>
        <w:t>14</w:t>
      </w:r>
      <w:r>
        <w:rPr>
          <w:rFonts w:hint="eastAsia" w:ascii="仿宋_GB2312" w:hAnsi="仿宋_GB2312" w:eastAsia="仿宋_GB2312" w:cs="仿宋_GB2312"/>
          <w:color w:val="auto"/>
          <w:sz w:val="28"/>
          <w:szCs w:val="28"/>
          <w:highlight w:val="none"/>
          <w:lang w:eastAsia="zh-CN"/>
        </w:rPr>
        <w:t>日，共有</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户债权人向管理人申报了4笔债权，申报总金额为12,929,838.06元。</w:t>
      </w:r>
      <w:r>
        <w:rPr>
          <w:rFonts w:hint="eastAsia" w:ascii="仿宋_GB2312" w:hAnsi="仿宋_GB2312" w:eastAsia="仿宋_GB2312" w:cs="仿宋_GB2312"/>
          <w:color w:val="auto"/>
          <w:sz w:val="28"/>
          <w:szCs w:val="28"/>
          <w:highlight w:val="none"/>
          <w:lang w:val="en-US" w:eastAsia="zh-CN"/>
        </w:rPr>
        <w:t>经审查，管理人全部确认及部分确认的债权为2户4笔，债权金额为</w:t>
      </w:r>
      <w:r>
        <w:rPr>
          <w:rFonts w:hint="eastAsia" w:ascii="仿宋" w:hAnsi="仿宋" w:eastAsia="仿宋" w:cs="仿宋"/>
          <w:color w:val="auto"/>
          <w:sz w:val="28"/>
          <w:szCs w:val="28"/>
          <w:highlight w:val="none"/>
          <w:lang w:val="en-US" w:eastAsia="zh-CN"/>
        </w:rPr>
        <w:t>12,929,766.60</w:t>
      </w:r>
      <w:r>
        <w:rPr>
          <w:rFonts w:hint="eastAsia" w:ascii="仿宋_GB2312" w:hAnsi="仿宋_GB2312" w:eastAsia="仿宋_GB2312" w:cs="仿宋_GB2312"/>
          <w:color w:val="auto"/>
          <w:sz w:val="28"/>
          <w:szCs w:val="28"/>
          <w:highlight w:val="none"/>
          <w:lang w:val="en-US" w:eastAsia="zh-CN"/>
        </w:rPr>
        <w:t>元。管理人编制了《福建森莱信息技术有限公司债权表》并交第一次债权人会议核查。</w:t>
      </w:r>
    </w:p>
    <w:p w14:paraId="7119A835">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Hans"/>
        </w:rPr>
      </w:pPr>
      <w:r>
        <w:rPr>
          <w:rFonts w:hint="eastAsia" w:ascii="仿宋_GB2312" w:hAnsi="仿宋_GB2312" w:eastAsia="仿宋_GB2312" w:cs="仿宋_GB2312"/>
          <w:color w:val="auto"/>
          <w:sz w:val="28"/>
          <w:szCs w:val="28"/>
          <w:highlight w:val="none"/>
          <w:lang w:val="en-US" w:eastAsia="zh-CN"/>
        </w:rPr>
        <w:t>根据《中华人民共和国企业破产法》第五十八条以及相关法律规定，债务人应当对管理人编制的《债权表》进行核对，有异议的应当说明具体理由。故管理人正式告知你，请你务必于收到本《告知书》之日起7日内完成债权核对，并按要求填写《债务人债权核对表》并</w:t>
      </w:r>
      <w:r>
        <w:rPr>
          <w:rFonts w:hint="eastAsia" w:ascii="仿宋_GB2312" w:hAnsi="仿宋_GB2312" w:eastAsia="仿宋_GB2312" w:cs="仿宋_GB2312"/>
          <w:color w:val="auto"/>
          <w:sz w:val="28"/>
          <w:szCs w:val="28"/>
          <w:highlight w:val="none"/>
          <w:lang w:val="en-US" w:eastAsia="zh-Hans"/>
        </w:rPr>
        <w:t>签字确认后邮寄给管理人（管理人</w:t>
      </w:r>
      <w:r>
        <w:rPr>
          <w:rFonts w:hint="eastAsia" w:ascii="仿宋_GB2312" w:hAnsi="仿宋_GB2312" w:eastAsia="仿宋_GB2312" w:cs="仿宋_GB2312"/>
          <w:color w:val="auto"/>
          <w:sz w:val="28"/>
          <w:szCs w:val="28"/>
          <w:highlight w:val="none"/>
          <w:lang w:val="en-US" w:eastAsia="zh-CN"/>
        </w:rPr>
        <w:t>联系地址：福建省宁德市蕉城区宁川北路29号塔辉花苑1幢1梯1001室福建省京闽清算服务有限公司宁德分公司；联系人：连海翔18005005101、李小玲17520497497</w:t>
      </w:r>
      <w:r>
        <w:rPr>
          <w:rFonts w:hint="eastAsia" w:ascii="仿宋_GB2312" w:hAnsi="仿宋_GB2312" w:eastAsia="仿宋_GB2312" w:cs="仿宋_GB2312"/>
          <w:color w:val="auto"/>
          <w:sz w:val="28"/>
          <w:szCs w:val="28"/>
          <w:highlight w:val="none"/>
          <w:lang w:val="en-US" w:eastAsia="zh-Hans"/>
        </w:rPr>
        <w:t>）；逾期未提交的，视为同意管理人的审查意见。</w:t>
      </w:r>
    </w:p>
    <w:p w14:paraId="5B41CC4C">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特此函告。</w:t>
      </w:r>
    </w:p>
    <w:p w14:paraId="45C241C1">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righ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福建森莱信息技术有限公司管理人</w:t>
      </w:r>
    </w:p>
    <w:p w14:paraId="549E3CF8">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right"/>
        <w:textAlignment w:val="auto"/>
        <w:outlineLvl w:val="9"/>
        <w:rPr>
          <w:rFonts w:hint="eastAsia" w:ascii="仿宋_GB2312" w:hAnsi="仿宋_GB2312" w:eastAsia="仿宋_GB2312" w:cs="仿宋_GB2312"/>
          <w:color w:val="auto"/>
          <w:sz w:val="28"/>
          <w:szCs w:val="28"/>
          <w:highlight w:val="none"/>
          <w:lang w:val="en-US" w:eastAsia="zh-Hans"/>
        </w:rPr>
      </w:pPr>
      <w:r>
        <w:rPr>
          <w:rFonts w:hint="eastAsia" w:ascii="仿宋_GB2312" w:hAnsi="仿宋_GB2312" w:eastAsia="仿宋_GB2312" w:cs="仿宋_GB2312"/>
          <w:color w:val="auto"/>
          <w:sz w:val="28"/>
          <w:szCs w:val="28"/>
          <w:highlight w:val="none"/>
          <w:lang w:val="en-US" w:eastAsia="zh-Hans"/>
        </w:rPr>
        <w:t>二〇</w:t>
      </w:r>
      <w:r>
        <w:rPr>
          <w:rFonts w:hint="eastAsia" w:ascii="仿宋_GB2312" w:hAnsi="仿宋_GB2312" w:eastAsia="仿宋_GB2312" w:cs="仿宋_GB2312"/>
          <w:color w:val="auto"/>
          <w:sz w:val="28"/>
          <w:szCs w:val="28"/>
          <w:highlight w:val="none"/>
          <w:lang w:val="en-US" w:eastAsia="zh-CN"/>
        </w:rPr>
        <w:t>二六</w:t>
      </w:r>
      <w:r>
        <w:rPr>
          <w:rFonts w:hint="eastAsia" w:ascii="仿宋_GB2312" w:hAnsi="仿宋_GB2312" w:eastAsia="仿宋_GB2312" w:cs="仿宋_GB2312"/>
          <w:color w:val="auto"/>
          <w:sz w:val="28"/>
          <w:szCs w:val="28"/>
          <w:highlight w:val="none"/>
          <w:lang w:val="en-US" w:eastAsia="zh-Hans"/>
        </w:rPr>
        <w:t>年</w:t>
      </w:r>
      <w:r>
        <w:rPr>
          <w:rFonts w:hint="eastAsia" w:ascii="仿宋_GB2312" w:hAnsi="仿宋_GB2312" w:eastAsia="仿宋_GB2312" w:cs="仿宋_GB2312"/>
          <w:color w:val="auto"/>
          <w:sz w:val="28"/>
          <w:szCs w:val="28"/>
          <w:highlight w:val="none"/>
          <w:lang w:val="en-US" w:eastAsia="zh-CN"/>
        </w:rPr>
        <w:t>八月二十一</w:t>
      </w:r>
      <w:r>
        <w:rPr>
          <w:rFonts w:hint="eastAsia" w:ascii="仿宋_GB2312" w:hAnsi="仿宋_GB2312" w:eastAsia="仿宋_GB2312" w:cs="仿宋_GB2312"/>
          <w:color w:val="auto"/>
          <w:sz w:val="28"/>
          <w:szCs w:val="28"/>
          <w:highlight w:val="none"/>
          <w:lang w:val="en-US" w:eastAsia="zh-Hans"/>
        </w:rPr>
        <w:t>日</w:t>
      </w:r>
    </w:p>
    <w:p w14:paraId="005DF692">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Hans"/>
        </w:rPr>
      </w:pPr>
      <w:r>
        <w:rPr>
          <w:rFonts w:hint="eastAsia" w:ascii="仿宋_GB2312" w:hAnsi="仿宋_GB2312" w:eastAsia="仿宋_GB2312" w:cs="仿宋_GB2312"/>
          <w:color w:val="auto"/>
          <w:sz w:val="28"/>
          <w:szCs w:val="28"/>
          <w:highlight w:val="none"/>
          <w:lang w:val="en-US" w:eastAsia="zh-Hans"/>
        </w:rPr>
        <w:t>附：</w:t>
      </w:r>
    </w:p>
    <w:p w14:paraId="1C771890">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en-US" w:eastAsia="zh-Hans"/>
        </w:rPr>
        <w:t>《</w:t>
      </w:r>
      <w:r>
        <w:rPr>
          <w:rFonts w:hint="eastAsia" w:ascii="仿宋_GB2312" w:hAnsi="仿宋_GB2312" w:eastAsia="仿宋_GB2312" w:cs="仿宋_GB2312"/>
          <w:color w:val="auto"/>
          <w:sz w:val="28"/>
          <w:szCs w:val="28"/>
          <w:highlight w:val="none"/>
          <w:lang w:val="en-US" w:eastAsia="zh-CN"/>
        </w:rPr>
        <w:t>福建森莱信息技术有限公司</w:t>
      </w:r>
      <w:r>
        <w:rPr>
          <w:rFonts w:hint="eastAsia" w:ascii="仿宋_GB2312" w:hAnsi="仿宋_GB2312" w:eastAsia="仿宋_GB2312" w:cs="仿宋_GB2312"/>
          <w:color w:val="auto"/>
          <w:sz w:val="28"/>
          <w:szCs w:val="28"/>
          <w:highlight w:val="none"/>
          <w:lang w:val="en-US" w:eastAsia="zh-Hans"/>
        </w:rPr>
        <w:t>债权表》</w:t>
      </w:r>
      <w:r>
        <w:rPr>
          <w:rFonts w:hint="eastAsia" w:ascii="仿宋_GB2312" w:hAnsi="仿宋_GB2312" w:eastAsia="仿宋_GB2312" w:cs="仿宋_GB2312"/>
          <w:color w:val="auto"/>
          <w:sz w:val="28"/>
          <w:szCs w:val="28"/>
          <w:highlight w:val="none"/>
          <w:lang w:val="en-US" w:eastAsia="zh-CN"/>
        </w:rPr>
        <w:t>；</w:t>
      </w:r>
    </w:p>
    <w:p w14:paraId="790AFF8F">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val="en-US" w:eastAsia="zh-Hans"/>
        </w:rPr>
        <w:t>《债务人债权核对表》</w:t>
      </w:r>
      <w:r>
        <w:rPr>
          <w:rFonts w:hint="eastAsia" w:ascii="仿宋_GB2312" w:hAnsi="仿宋_GB2312" w:eastAsia="仿宋_GB2312" w:cs="仿宋_GB2312"/>
          <w:color w:val="auto"/>
          <w:sz w:val="28"/>
          <w:szCs w:val="28"/>
          <w:highlight w:val="none"/>
          <w:lang w:val="en-US" w:eastAsia="zh-CN"/>
        </w:rPr>
        <w:t>。</w:t>
      </w:r>
    </w:p>
    <w:p w14:paraId="0462B435">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354C84F2">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5DE56240">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2C538A1C">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6032D914">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120E2286">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465FE12D">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342272AB">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418D3818">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sectPr>
          <w:headerReference r:id="rId3" w:type="default"/>
          <w:pgSz w:w="11906" w:h="16838"/>
          <w:pgMar w:top="1440" w:right="1800" w:bottom="1440" w:left="1800" w:header="851" w:footer="992" w:gutter="0"/>
          <w:cols w:space="425" w:num="1"/>
          <w:docGrid w:type="lines" w:linePitch="312" w:charSpace="0"/>
        </w:sectPr>
      </w:pPr>
    </w:p>
    <w:p w14:paraId="030A756C">
      <w:pPr>
        <w:keepNext w:val="0"/>
        <w:keepLines w:val="0"/>
        <w:widowControl/>
        <w:numPr>
          <w:ilvl w:val="0"/>
          <w:numId w:val="0"/>
        </w:numPr>
        <w:suppressLineNumbers w:val="0"/>
        <w:jc w:val="center"/>
        <w:textAlignment w:val="center"/>
        <w:outlineLvl w:val="0"/>
        <w:rPr>
          <w:rFonts w:hint="eastAsia" w:ascii="黑体" w:hAnsi="黑体" w:eastAsia="黑体" w:cs="黑体"/>
          <w:b/>
          <w:i w:val="0"/>
          <w:color w:val="auto"/>
          <w:kern w:val="0"/>
          <w:sz w:val="40"/>
          <w:szCs w:val="40"/>
          <w:highlight w:val="none"/>
          <w:u w:val="none"/>
          <w:lang w:val="en-US" w:eastAsia="zh-CN" w:bidi="ar"/>
        </w:rPr>
      </w:pPr>
      <w:bookmarkStart w:id="0" w:name="_Toc898745749"/>
      <w:bookmarkStart w:id="1" w:name="_Toc24604"/>
      <w:bookmarkStart w:id="2" w:name="_Toc13259"/>
      <w:bookmarkStart w:id="3" w:name="_Toc24671"/>
      <w:bookmarkStart w:id="4" w:name="_Toc25856"/>
      <w:bookmarkStart w:id="5" w:name="_Toc296335472"/>
      <w:bookmarkStart w:id="6" w:name="_Toc651853479"/>
      <w:bookmarkStart w:id="7" w:name="_Toc24495"/>
      <w:bookmarkStart w:id="8" w:name="_Toc926"/>
      <w:bookmarkStart w:id="9" w:name="_Toc2666"/>
      <w:bookmarkStart w:id="10" w:name="_Toc25468"/>
      <w:bookmarkStart w:id="11" w:name="_Toc15322"/>
      <w:bookmarkStart w:id="12" w:name="_Toc2058773496"/>
      <w:bookmarkStart w:id="13" w:name="_Toc20434"/>
      <w:bookmarkStart w:id="14" w:name="_Toc29881"/>
      <w:bookmarkStart w:id="15" w:name="_Toc715"/>
      <w:bookmarkStart w:id="16" w:name="_Toc10695"/>
      <w:bookmarkStart w:id="17" w:name="_Toc24279"/>
      <w:bookmarkStart w:id="18" w:name="_Toc31715"/>
      <w:bookmarkStart w:id="19" w:name="_Toc1335088360"/>
      <w:bookmarkStart w:id="20" w:name="_Toc3258"/>
      <w:bookmarkStart w:id="21" w:name="_Toc12953"/>
      <w:bookmarkStart w:id="22" w:name="_Toc747"/>
      <w:bookmarkStart w:id="23" w:name="_Toc9985"/>
      <w:bookmarkStart w:id="24" w:name="_Toc24829"/>
      <w:bookmarkStart w:id="25" w:name="_Toc2132252992"/>
      <w:r>
        <w:rPr>
          <w:rFonts w:hint="eastAsia" w:ascii="黑体" w:hAnsi="黑体" w:eastAsia="黑体" w:cs="黑体"/>
          <w:b/>
          <w:i w:val="0"/>
          <w:color w:val="auto"/>
          <w:kern w:val="0"/>
          <w:sz w:val="40"/>
          <w:szCs w:val="40"/>
          <w:highlight w:val="none"/>
          <w:u w:val="none"/>
          <w:lang w:val="en-US" w:eastAsia="zh-CN" w:bidi="ar"/>
        </w:rPr>
        <w:t>福建森莱信息技术有限公司债权表</w:t>
      </w:r>
      <w:bookmarkEnd w:id="0"/>
    </w:p>
    <w:p w14:paraId="2635C3C5">
      <w:pPr>
        <w:keepNext w:val="0"/>
        <w:keepLines w:val="0"/>
        <w:widowControl/>
        <w:numPr>
          <w:ilvl w:val="0"/>
          <w:numId w:val="0"/>
        </w:numPr>
        <w:suppressLineNumbers w:val="0"/>
        <w:jc w:val="center"/>
        <w:textAlignment w:val="center"/>
        <w:outlineLvl w:val="9"/>
        <w:rPr>
          <w:rFonts w:hint="eastAsia" w:ascii="仿宋" w:hAnsi="仿宋" w:eastAsia="仿宋" w:cs="仿宋"/>
          <w:b w:val="0"/>
          <w:bCs/>
          <w:i w:val="0"/>
          <w:color w:val="auto"/>
          <w:kern w:val="0"/>
          <w:sz w:val="24"/>
          <w:szCs w:val="24"/>
          <w:highlight w:val="none"/>
          <w:u w:val="none"/>
          <w:lang w:val="en-US" w:eastAsia="zh-CN" w:bidi="ar"/>
        </w:rPr>
      </w:pPr>
      <w:r>
        <w:rPr>
          <w:rFonts w:hint="eastAsia" w:ascii="仿宋" w:hAnsi="仿宋" w:eastAsia="仿宋" w:cs="仿宋"/>
          <w:b w:val="0"/>
          <w:bCs/>
          <w:i w:val="0"/>
          <w:color w:val="auto"/>
          <w:kern w:val="0"/>
          <w:sz w:val="24"/>
          <w:szCs w:val="24"/>
          <w:highlight w:val="none"/>
          <w:u w:val="none"/>
          <w:lang w:val="en-US" w:eastAsia="zh-CN" w:bidi="ar"/>
        </w:rPr>
        <w:t>（截止日期：2026年8月14日；单位：人民币元）</w:t>
      </w:r>
    </w:p>
    <w:tbl>
      <w:tblPr>
        <w:tblStyle w:val="7"/>
        <w:tblW w:w="15213" w:type="dxa"/>
        <w:jc w:val="center"/>
        <w:tblLayout w:type="fixed"/>
        <w:tblCellMar>
          <w:top w:w="0" w:type="dxa"/>
          <w:left w:w="0" w:type="dxa"/>
          <w:bottom w:w="0" w:type="dxa"/>
          <w:right w:w="0" w:type="dxa"/>
        </w:tblCellMar>
      </w:tblPr>
      <w:tblGrid>
        <w:gridCol w:w="548"/>
        <w:gridCol w:w="1355"/>
        <w:gridCol w:w="1424"/>
        <w:gridCol w:w="1678"/>
        <w:gridCol w:w="915"/>
        <w:gridCol w:w="1509"/>
        <w:gridCol w:w="1440"/>
        <w:gridCol w:w="1414"/>
        <w:gridCol w:w="906"/>
        <w:gridCol w:w="1512"/>
        <w:gridCol w:w="475"/>
        <w:gridCol w:w="475"/>
        <w:gridCol w:w="1562"/>
      </w:tblGrid>
      <w:tr w14:paraId="7019C850">
        <w:tblPrEx>
          <w:tblCellMar>
            <w:top w:w="0" w:type="dxa"/>
            <w:left w:w="0" w:type="dxa"/>
            <w:bottom w:w="0" w:type="dxa"/>
            <w:right w:w="0" w:type="dxa"/>
          </w:tblCellMar>
        </w:tblPrEx>
        <w:trPr>
          <w:trHeight w:val="564" w:hRule="atLeast"/>
          <w:tblHeader/>
          <w:jc w:val="center"/>
        </w:trPr>
        <w:tc>
          <w:tcPr>
            <w:tcW w:w="1903" w:type="dxa"/>
            <w:gridSpan w:val="2"/>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05E3F8F1">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债权人信息</w:t>
            </w:r>
          </w:p>
        </w:tc>
        <w:tc>
          <w:tcPr>
            <w:tcW w:w="5526" w:type="dxa"/>
            <w:gridSpan w:val="4"/>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788604D5">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申报情况</w:t>
            </w:r>
          </w:p>
        </w:tc>
        <w:tc>
          <w:tcPr>
            <w:tcW w:w="6222" w:type="dxa"/>
            <w:gridSpan w:val="6"/>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5CCD44D0">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审查情况</w:t>
            </w:r>
          </w:p>
        </w:tc>
        <w:tc>
          <w:tcPr>
            <w:tcW w:w="1562" w:type="dxa"/>
            <w:vMerge w:val="restart"/>
            <w:tcBorders>
              <w:top w:val="single" w:color="000000" w:sz="4" w:space="0"/>
              <w:left w:val="single" w:color="000000" w:sz="4" w:space="0"/>
              <w:right w:val="single" w:color="000000" w:sz="4" w:space="0"/>
            </w:tcBorders>
            <w:shd w:val="clear" w:color="auto" w:fill="7F7F7F"/>
            <w:noWrap w:val="0"/>
            <w:tcMar>
              <w:top w:w="15" w:type="dxa"/>
              <w:left w:w="15" w:type="dxa"/>
              <w:right w:w="15" w:type="dxa"/>
            </w:tcMar>
            <w:vAlign w:val="center"/>
          </w:tcPr>
          <w:p w14:paraId="33D01986">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备注</w:t>
            </w:r>
          </w:p>
        </w:tc>
      </w:tr>
      <w:tr w14:paraId="0E2AA431">
        <w:tblPrEx>
          <w:tblCellMar>
            <w:top w:w="0" w:type="dxa"/>
            <w:left w:w="0" w:type="dxa"/>
            <w:bottom w:w="0" w:type="dxa"/>
            <w:right w:w="0" w:type="dxa"/>
          </w:tblCellMar>
        </w:tblPrEx>
        <w:trPr>
          <w:trHeight w:val="654" w:hRule="atLeast"/>
          <w:tblHeader/>
          <w:jc w:val="center"/>
        </w:trPr>
        <w:tc>
          <w:tcPr>
            <w:tcW w:w="548"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148C4C89">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编号</w:t>
            </w:r>
          </w:p>
        </w:tc>
        <w:tc>
          <w:tcPr>
            <w:tcW w:w="135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23C3888A">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申报人名称</w:t>
            </w:r>
          </w:p>
        </w:tc>
        <w:tc>
          <w:tcPr>
            <w:tcW w:w="1424"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549D086A">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本金</w:t>
            </w:r>
          </w:p>
        </w:tc>
        <w:tc>
          <w:tcPr>
            <w:tcW w:w="1678"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54DB91F7">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利息</w:t>
            </w:r>
          </w:p>
        </w:tc>
        <w:tc>
          <w:tcPr>
            <w:tcW w:w="91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4D1FAAB9">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其他</w:t>
            </w:r>
          </w:p>
        </w:tc>
        <w:tc>
          <w:tcPr>
            <w:tcW w:w="1509"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6099111A">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总额</w:t>
            </w:r>
          </w:p>
        </w:tc>
        <w:tc>
          <w:tcPr>
            <w:tcW w:w="1440"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4FB2BA20">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本金</w:t>
            </w:r>
          </w:p>
        </w:tc>
        <w:tc>
          <w:tcPr>
            <w:tcW w:w="1414"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059BE21A">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利息</w:t>
            </w:r>
          </w:p>
        </w:tc>
        <w:tc>
          <w:tcPr>
            <w:tcW w:w="906"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4F5625DE">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其他</w:t>
            </w:r>
          </w:p>
        </w:tc>
        <w:tc>
          <w:tcPr>
            <w:tcW w:w="1512"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31F06E71">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审定债权</w:t>
            </w:r>
          </w:p>
        </w:tc>
        <w:tc>
          <w:tcPr>
            <w:tcW w:w="47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2F6FB489">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审查意见</w:t>
            </w:r>
          </w:p>
        </w:tc>
        <w:tc>
          <w:tcPr>
            <w:tcW w:w="47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265F811F">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债权性质</w:t>
            </w:r>
          </w:p>
        </w:tc>
        <w:tc>
          <w:tcPr>
            <w:tcW w:w="1562" w:type="dxa"/>
            <w:vMerge w:val="continue"/>
            <w:tcBorders>
              <w:left w:val="single" w:color="000000" w:sz="4" w:space="0"/>
              <w:bottom w:val="single" w:color="000000" w:sz="4" w:space="0"/>
              <w:right w:val="single" w:color="000000" w:sz="4" w:space="0"/>
            </w:tcBorders>
            <w:shd w:val="clear" w:color="auto" w:fill="E7E6E6"/>
            <w:noWrap w:val="0"/>
            <w:tcMar>
              <w:top w:w="15" w:type="dxa"/>
              <w:left w:w="15" w:type="dxa"/>
              <w:right w:w="15" w:type="dxa"/>
            </w:tcMar>
            <w:vAlign w:val="center"/>
          </w:tcPr>
          <w:p w14:paraId="167348F4">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p>
        </w:tc>
      </w:tr>
      <w:tr w14:paraId="0E542938">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FD6B6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2FA4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国家税务总局宁德市税务局稽查局</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6A574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7,363,131.54</w:t>
            </w:r>
          </w:p>
        </w:tc>
        <w:tc>
          <w:tcPr>
            <w:tcW w:w="167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77DC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D8BAF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EF6EA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7,363,131.54</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6A03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7,363,131.54</w:t>
            </w:r>
          </w:p>
        </w:tc>
        <w:tc>
          <w:tcPr>
            <w:tcW w:w="141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81B5D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0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D1B09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1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5EAE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7,363,131.54</w:t>
            </w:r>
          </w:p>
        </w:tc>
        <w:tc>
          <w:tcPr>
            <w:tcW w:w="4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971CE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4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DD3A3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税收债权</w:t>
            </w:r>
          </w:p>
        </w:tc>
        <w:tc>
          <w:tcPr>
            <w:tcW w:w="15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12F4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对债务人尚欠的税款予以确认</w:t>
            </w:r>
          </w:p>
        </w:tc>
      </w:tr>
      <w:tr w14:paraId="1425B82B">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47838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DD0D2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国家税务总局宁德市税务局稽查局</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60506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7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65B70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5,510,959.37</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CD00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1735C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5,510,959.37</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FDF06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41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04C9A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5,510,887.91</w:t>
            </w:r>
          </w:p>
        </w:tc>
        <w:tc>
          <w:tcPr>
            <w:tcW w:w="90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29E52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1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9A4EE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5,510,887.91</w:t>
            </w:r>
          </w:p>
        </w:tc>
        <w:tc>
          <w:tcPr>
            <w:tcW w:w="4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5FCE1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4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324B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15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0E2A4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核减超过税款本金的滞纳金后，对债务人尚欠的税款滞纳金予以确认</w:t>
            </w:r>
          </w:p>
        </w:tc>
      </w:tr>
      <w:tr w14:paraId="5B30FE8E">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28BD8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660A8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国家税务总局宁德市税务局稽查局</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31AC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51,647.15</w:t>
            </w:r>
          </w:p>
        </w:tc>
        <w:tc>
          <w:tcPr>
            <w:tcW w:w="167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2573E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7F835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E419B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51,647.15</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FF4D3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51,647.15</w:t>
            </w:r>
          </w:p>
        </w:tc>
        <w:tc>
          <w:tcPr>
            <w:tcW w:w="141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36EE4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0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5702A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1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A1B79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51,647.15</w:t>
            </w:r>
          </w:p>
        </w:tc>
        <w:tc>
          <w:tcPr>
            <w:tcW w:w="4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D39C5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4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F1EFF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劣后债权</w:t>
            </w:r>
          </w:p>
        </w:tc>
        <w:tc>
          <w:tcPr>
            <w:tcW w:w="15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34540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对债务人尚欠的税务罚款予以确认</w:t>
            </w:r>
          </w:p>
        </w:tc>
      </w:tr>
      <w:tr w14:paraId="40404734">
        <w:tblPrEx>
          <w:tblCellMar>
            <w:top w:w="0" w:type="dxa"/>
            <w:left w:w="0" w:type="dxa"/>
            <w:bottom w:w="0" w:type="dxa"/>
            <w:right w:w="0" w:type="dxa"/>
          </w:tblCellMar>
        </w:tblPrEx>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71666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31BE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国家税务总局屏南县税务局</w:t>
            </w:r>
          </w:p>
        </w:tc>
        <w:tc>
          <w:tcPr>
            <w:tcW w:w="142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6177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4,100.00</w:t>
            </w:r>
          </w:p>
        </w:tc>
        <w:tc>
          <w:tcPr>
            <w:tcW w:w="167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F387E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B1FC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90B3A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4,100.00</w:t>
            </w:r>
          </w:p>
        </w:tc>
        <w:tc>
          <w:tcPr>
            <w:tcW w:w="14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4E0DB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4,100.00</w:t>
            </w:r>
          </w:p>
        </w:tc>
        <w:tc>
          <w:tcPr>
            <w:tcW w:w="141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343ED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0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E43D4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51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3485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4,100.00</w:t>
            </w:r>
          </w:p>
        </w:tc>
        <w:tc>
          <w:tcPr>
            <w:tcW w:w="4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8CC61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47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8469A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劣后债权</w:t>
            </w:r>
          </w:p>
        </w:tc>
        <w:tc>
          <w:tcPr>
            <w:tcW w:w="15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A05D3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对债务人尚欠的税务罚款予以确认</w:t>
            </w:r>
          </w:p>
        </w:tc>
      </w:tr>
    </w:tbl>
    <w:p w14:paraId="7BB09ADE">
      <w:pPr>
        <w:keepNext w:val="0"/>
        <w:keepLines w:val="0"/>
        <w:pageBreakBefore w:val="0"/>
        <w:widowControl w:val="0"/>
        <w:kinsoku/>
        <w:wordWrap/>
        <w:overflowPunct/>
        <w:topLinePunct w:val="0"/>
        <w:autoSpaceDE/>
        <w:autoSpaceDN/>
        <w:bidi w:val="0"/>
        <w:adjustRightInd/>
        <w:snapToGrid/>
        <w:spacing w:before="157" w:beforeLines="50" w:line="360" w:lineRule="auto"/>
        <w:ind w:firstLine="0" w:firstLineChars="0"/>
        <w:jc w:val="both"/>
        <w:textAlignment w:val="auto"/>
        <w:outlineLvl w:val="9"/>
        <w:rPr>
          <w:rFonts w:hint="eastAsia" w:ascii="黑体" w:hAnsi="黑体" w:eastAsia="黑体" w:cs="黑体"/>
          <w:b/>
          <w:bCs/>
          <w:color w:val="auto"/>
          <w:spacing w:val="0"/>
          <w:sz w:val="40"/>
          <w:szCs w:val="44"/>
          <w:highlight w:val="none"/>
          <w:lang w:eastAsia="zh-CN"/>
        </w:rPr>
        <w:sectPr>
          <w:pgSz w:w="16838" w:h="11906" w:orient="landscape"/>
          <w:pgMar w:top="1797" w:right="1440" w:bottom="1797" w:left="1440" w:header="737" w:footer="992" w:gutter="0"/>
          <w:pgBorders>
            <w:top w:val="none" w:sz="0" w:space="0"/>
            <w:left w:val="none" w:sz="0" w:space="0"/>
            <w:bottom w:val="none" w:sz="0" w:space="0"/>
            <w:right w:val="none" w:sz="0" w:space="0"/>
          </w:pgBorders>
          <w:pgNumType w:fmt="decimal"/>
          <w:cols w:space="720" w:num="1"/>
          <w:docGrid w:linePitch="312" w:charSpace="0"/>
        </w:sectPr>
      </w:pPr>
    </w:p>
    <w:p w14:paraId="382EB2F7">
      <w:pPr>
        <w:keepNext w:val="0"/>
        <w:keepLines w:val="0"/>
        <w:widowControl/>
        <w:numPr>
          <w:ilvl w:val="0"/>
          <w:numId w:val="0"/>
        </w:numPr>
        <w:suppressLineNumbers w:val="0"/>
        <w:jc w:val="both"/>
        <w:textAlignment w:val="center"/>
        <w:outlineLvl w:val="9"/>
        <w:rPr>
          <w:rFonts w:hint="eastAsia" w:ascii="仿宋" w:hAnsi="仿宋" w:eastAsia="仿宋" w:cs="仿宋"/>
          <w:b w:val="0"/>
          <w:bCs/>
          <w:i w:val="0"/>
          <w:color w:val="auto"/>
          <w:kern w:val="0"/>
          <w:sz w:val="24"/>
          <w:szCs w:val="24"/>
          <w:highlight w:val="none"/>
          <w:u w:val="none"/>
          <w:lang w:val="en-US" w:eastAsia="zh-CN" w:bidi="ar"/>
        </w:rPr>
      </w:pP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14:paraId="4197FB09">
      <w:pPr>
        <w:pStyle w:val="3"/>
        <w:jc w:val="distribute"/>
        <w:rPr>
          <w:rFonts w:hint="eastAsia"/>
          <w:sz w:val="44"/>
          <w:szCs w:val="44"/>
          <w:lang w:val="en-US" w:eastAsia="zh-CN"/>
        </w:rPr>
      </w:pPr>
      <w:r>
        <w:rPr>
          <w:rFonts w:hint="eastAsia"/>
          <w:sz w:val="44"/>
          <w:szCs w:val="44"/>
          <w:lang w:val="en-US" w:eastAsia="zh-CN"/>
        </w:rPr>
        <w:t>福建森莱信息技术有限公司</w:t>
      </w:r>
    </w:p>
    <w:p w14:paraId="1EDBF3B4">
      <w:pPr>
        <w:pStyle w:val="3"/>
        <w:jc w:val="center"/>
        <w:rPr>
          <w:sz w:val="44"/>
          <w:szCs w:val="44"/>
        </w:rPr>
      </w:pPr>
      <w:r>
        <w:rPr>
          <w:rFonts w:hint="eastAsia"/>
          <w:sz w:val="44"/>
          <w:szCs w:val="44"/>
          <w:lang w:val="en-US" w:eastAsia="zh-Hans"/>
        </w:rPr>
        <w:t>债务人</w:t>
      </w:r>
      <w:r>
        <w:rPr>
          <w:rFonts w:hint="eastAsia"/>
          <w:sz w:val="44"/>
          <w:szCs w:val="44"/>
        </w:rPr>
        <w:t>债权核</w:t>
      </w:r>
      <w:r>
        <w:rPr>
          <w:rFonts w:hint="eastAsia"/>
          <w:sz w:val="44"/>
          <w:szCs w:val="44"/>
          <w:lang w:val="en-US" w:eastAsia="zh-Hans"/>
        </w:rPr>
        <w:t>对</w:t>
      </w:r>
      <w:r>
        <w:rPr>
          <w:rFonts w:hint="eastAsia"/>
          <w:sz w:val="44"/>
          <w:szCs w:val="44"/>
        </w:rPr>
        <w:t>表</w:t>
      </w:r>
    </w:p>
    <w:tbl>
      <w:tblPr>
        <w:tblStyle w:val="8"/>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14:paraId="7434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4" w:hRule="atLeast"/>
        </w:trPr>
        <w:tc>
          <w:tcPr>
            <w:tcW w:w="8720" w:type="dxa"/>
            <w:noWrap w:val="0"/>
            <w:vAlign w:val="center"/>
          </w:tcPr>
          <w:p w14:paraId="07938FDF">
            <w:pPr>
              <w:jc w:val="center"/>
              <w:rPr>
                <w:rFonts w:hint="default"/>
                <w:vertAlign w:val="baseline"/>
                <w:lang w:val="en-US" w:eastAsia="zh-CN"/>
              </w:rPr>
            </w:pPr>
            <w:r>
              <w:rPr>
                <w:rFonts w:hint="eastAsia" w:ascii="宋体" w:hAnsi="宋体"/>
                <w:sz w:val="24"/>
              </w:rPr>
              <w:t>对《债权表》中记载的债权编号第</w:t>
            </w:r>
            <w:r>
              <w:rPr>
                <w:rFonts w:ascii="宋体" w:hAnsi="宋体"/>
                <w:sz w:val="24"/>
                <w:u w:val="single"/>
              </w:rPr>
              <w:t xml:space="preserve">    </w:t>
            </w:r>
            <w:r>
              <w:rPr>
                <w:rFonts w:hint="eastAsia" w:ascii="宋体" w:hAnsi="宋体"/>
                <w:sz w:val="24"/>
                <w:u w:val="single"/>
                <w:lang w:val="en-US" w:eastAsia="zh-CN"/>
              </w:rPr>
              <w:t xml:space="preserve">              </w:t>
            </w:r>
            <w:r>
              <w:rPr>
                <w:rFonts w:ascii="宋体" w:hAnsi="宋体"/>
                <w:sz w:val="24"/>
                <w:u w:val="single"/>
              </w:rPr>
              <w:t xml:space="preserve">   </w:t>
            </w:r>
            <w:r>
              <w:rPr>
                <w:rFonts w:hint="eastAsia" w:ascii="宋体" w:hAnsi="宋体"/>
                <w:sz w:val="24"/>
              </w:rPr>
              <w:t>号债权</w:t>
            </w:r>
            <w:r>
              <w:rPr>
                <w:rFonts w:hint="eastAsia" w:ascii="宋体" w:hAnsi="宋体"/>
                <w:sz w:val="24"/>
                <w:lang w:eastAsia="zh-CN"/>
              </w:rPr>
              <w:t>审查</w:t>
            </w:r>
            <w:r>
              <w:rPr>
                <w:rFonts w:hint="eastAsia" w:ascii="宋体" w:hAnsi="宋体"/>
                <w:sz w:val="24"/>
              </w:rPr>
              <w:t>结果有异议</w:t>
            </w:r>
          </w:p>
        </w:tc>
      </w:tr>
      <w:tr w14:paraId="6634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9" w:hRule="atLeast"/>
        </w:trPr>
        <w:tc>
          <w:tcPr>
            <w:tcW w:w="8720" w:type="dxa"/>
            <w:noWrap w:val="0"/>
            <w:vAlign w:val="top"/>
          </w:tcPr>
          <w:p w14:paraId="5378797B">
            <w:pPr>
              <w:tabs>
                <w:tab w:val="left" w:pos="3373"/>
              </w:tabs>
              <w:bidi w:val="0"/>
              <w:jc w:val="both"/>
              <w:rPr>
                <w:rFonts w:hint="eastAsia"/>
                <w:lang w:val="en-US" w:eastAsia="zh-CN"/>
              </w:rPr>
            </w:pPr>
          </w:p>
          <w:p w14:paraId="79DCD7CD">
            <w:pPr>
              <w:tabs>
                <w:tab w:val="left" w:pos="3373"/>
              </w:tabs>
              <w:bidi w:val="0"/>
              <w:jc w:val="both"/>
              <w:rPr>
                <w:rFonts w:hint="default"/>
                <w:lang w:val="en-US" w:eastAsia="zh-CN"/>
              </w:rPr>
            </w:pPr>
            <w:r>
              <w:rPr>
                <w:rFonts w:hint="eastAsia"/>
                <w:lang w:val="en-US" w:eastAsia="zh-CN"/>
              </w:rPr>
              <w:t>事实与理由：</w:t>
            </w:r>
          </w:p>
        </w:tc>
      </w:tr>
      <w:tr w14:paraId="531E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720" w:type="dxa"/>
            <w:noWrap w:val="0"/>
            <w:vAlign w:val="top"/>
          </w:tcPr>
          <w:p w14:paraId="215D0251">
            <w:pPr>
              <w:wordWrap w:val="0"/>
              <w:spacing w:line="480" w:lineRule="auto"/>
              <w:ind w:firstLine="5320" w:firstLineChars="1900"/>
              <w:jc w:val="both"/>
              <w:rPr>
                <w:rFonts w:hint="default"/>
                <w:vertAlign w:val="baseline"/>
                <w:lang w:val="en-US" w:eastAsia="zh-CN"/>
              </w:rPr>
            </w:pPr>
            <w:r>
              <w:rPr>
                <w:rFonts w:hint="eastAsia"/>
                <w:vertAlign w:val="baseline"/>
                <w:lang w:val="en-US" w:eastAsia="zh-CN"/>
              </w:rPr>
              <w:t xml:space="preserve">签字：                </w:t>
            </w:r>
          </w:p>
          <w:p w14:paraId="5B8308E8">
            <w:pPr>
              <w:wordWrap w:val="0"/>
              <w:spacing w:line="480" w:lineRule="auto"/>
              <w:ind w:firstLine="5320" w:firstLineChars="1900"/>
              <w:jc w:val="both"/>
              <w:rPr>
                <w:rFonts w:hint="default"/>
                <w:vertAlign w:val="baseline"/>
                <w:lang w:val="en-US" w:eastAsia="zh-CN"/>
              </w:rPr>
            </w:pPr>
            <w:r>
              <w:rPr>
                <w:rFonts w:hint="eastAsia"/>
                <w:vertAlign w:val="baseline"/>
                <w:lang w:val="en-US" w:eastAsia="zh-CN"/>
              </w:rPr>
              <w:t xml:space="preserve">日期：                </w:t>
            </w:r>
          </w:p>
        </w:tc>
      </w:tr>
    </w:tbl>
    <w:p w14:paraId="0A610C3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仿宋_GB2312" w:hAnsi="华文仿宋" w:eastAsia="仿宋_GB2312" w:cs="Times New Roman"/>
          <w:b w:val="0"/>
          <w:kern w:val="2"/>
          <w:sz w:val="28"/>
          <w:szCs w:val="28"/>
          <w:lang w:val="en-US" w:eastAsia="zh-Hans" w:bidi="ar-SA"/>
        </w:rPr>
      </w:pPr>
      <w:bookmarkStart w:id="26" w:name="_GoBack"/>
      <w:bookmarkEnd w:id="2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宋体-简">
    <w:altName w:val="宋体"/>
    <w:panose1 w:val="02010800040101010101"/>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4DB80">
    <w:pPr>
      <w:spacing w:line="1077" w:lineRule="exact"/>
      <w:ind w:left="-4" w:leftChars="-4" w:right="-67" w:rightChars="-24" w:hanging="7" w:hangingChars="2"/>
      <w:jc w:val="distribute"/>
      <w:rPr>
        <w:rFonts w:hint="eastAsia" w:ascii="方正小标宋简体" w:eastAsia="方正小标宋简体"/>
        <w:sz w:val="36"/>
        <w:szCs w:val="36"/>
      </w:rPr>
    </w:pPr>
    <w:r>
      <w:rPr>
        <w:rFonts w:hint="eastAsia" w:eastAsia="方正小标宋简体"/>
        <w:bCs/>
        <w:color w:val="FF0000"/>
        <w:spacing w:val="10"/>
        <w:w w:val="90"/>
        <w:sz w:val="40"/>
        <w:szCs w:val="40"/>
        <w:lang w:eastAsia="zh-CN"/>
      </w:rPr>
      <w:t>福建森莱信息技术有限公司管理人</w:t>
    </w:r>
  </w:p>
  <w:p w14:paraId="343B3BA4">
    <w:pPr>
      <w:pStyle w:val="6"/>
      <w:pBdr>
        <w:bottom w:val="none" w:color="auto" w:sz="0" w:space="1"/>
      </w:pBdr>
      <w:jc w:val="center"/>
      <w:rPr>
        <w:rFonts w:hint="default"/>
        <w:b/>
        <w:bCs/>
        <w:sz w:val="13"/>
        <w:szCs w:val="13"/>
        <w:lang w:val="en-US" w:eastAsia="zh-CN"/>
      </w:rPr>
    </w:pPr>
  </w:p>
  <w:p w14:paraId="654E9D3A">
    <w:pPr>
      <w:pStyle w:val="6"/>
      <w:pBdr>
        <w:bottom w:val="none" w:color="auto" w:sz="0" w:space="1"/>
      </w:pBdr>
      <w:rPr>
        <w:rFonts w:hint="eastAsia"/>
        <w:lang w:eastAsia="zh-CN"/>
      </w:rPr>
    </w:pPr>
    <w:r>
      <w:rPr>
        <w:rFonts w:hint="eastAsia" w:ascii="方正小标宋简体" w:eastAsia="方正小标宋简体"/>
        <w:sz w:val="44"/>
        <w:szCs w:val="44"/>
      </w:rPr>
      <mc:AlternateContent>
        <mc:Choice Requires="wps">
          <w:drawing>
            <wp:anchor distT="71755" distB="0" distL="114300" distR="114300" simplePos="0" relativeHeight="251659264" behindDoc="0" locked="0" layoutInCell="1" allowOverlap="1">
              <wp:simplePos x="0" y="0"/>
              <wp:positionH relativeFrom="page">
                <wp:posOffset>806450</wp:posOffset>
              </wp:positionH>
              <wp:positionV relativeFrom="margin">
                <wp:posOffset>-192405</wp:posOffset>
              </wp:positionV>
              <wp:extent cx="8884285" cy="0"/>
              <wp:effectExtent l="0" t="28575" r="5715" b="47625"/>
              <wp:wrapTopAndBottom/>
              <wp:docPr id="1" name="直接连接符 1"/>
              <wp:cNvGraphicFramePr/>
              <a:graphic xmlns:a="http://schemas.openxmlformats.org/drawingml/2006/main">
                <a:graphicData uri="http://schemas.microsoft.com/office/word/2010/wordprocessingShape">
                  <wps:wsp>
                    <wps:cNvCnPr/>
                    <wps:spPr>
                      <a:xfrm>
                        <a:off x="0" y="0"/>
                        <a:ext cx="8884285"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3.5pt;margin-top:-15.15pt;height:0pt;width:699.55pt;mso-position-horizontal-relative:page;mso-position-vertical-relative:margin;mso-wrap-distance-bottom:0pt;mso-wrap-distance-top:5.65pt;z-index:251659264;mso-width-relative:page;mso-height-relative:page;" filled="f" stroked="t" coordsize="21600,21600" o:gfxdata="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wa0SvVAAAADAEAAA8AAAAAAAAAAQAgAAAAIgAAAGRycy9kb3ducmV2Lnht&#10;bFBLAQIUABQAAAAIAIdO4kCYsJ2g/AEAAOsDAAAOAAAAAAAAAAEAIAAAACQBAABkcnMvZTJvRG9j&#10;LnhtbFBLBQYAAAAABgAGAFkBAACSBQAAAAA=&#10;">
              <v:fill on="f" focussize="0,0"/>
              <v:stroke weight="4.5pt" color="#FF0000" linestyle="thickThin" joinstyle="round"/>
              <v:imagedata o:title=""/>
              <o:lock v:ext="edit" aspectratio="f"/>
              <w10:wrap type="topAndBottom"/>
            </v:line>
          </w:pict>
        </mc:Fallback>
      </mc:AlternateContent>
    </w:r>
  </w:p>
  <w:p w14:paraId="3920558B">
    <w:pPr>
      <w:pStyle w:val="6"/>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EB2A90"/>
    <w:multiLevelType w:val="singleLevel"/>
    <w:tmpl w:val="EFEB2A90"/>
    <w:lvl w:ilvl="0" w:tentative="0">
      <w:start w:val="202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jNzczNTJhZTE2N2I0ZmJlOThiYWU2YWI4OTRmYzYifQ=="/>
    <w:docVar w:name="KSO_WPS_MARK_KEY" w:val="b6ddaf95-dab2-45d1-8081-2e802e8cee24"/>
  </w:docVars>
  <w:rsids>
    <w:rsidRoot w:val="00172A27"/>
    <w:rsid w:val="02061E43"/>
    <w:rsid w:val="027950A0"/>
    <w:rsid w:val="043F6DC8"/>
    <w:rsid w:val="05673DAD"/>
    <w:rsid w:val="056B1570"/>
    <w:rsid w:val="079A2552"/>
    <w:rsid w:val="083237FC"/>
    <w:rsid w:val="08A52FEB"/>
    <w:rsid w:val="097F1E8C"/>
    <w:rsid w:val="0A142089"/>
    <w:rsid w:val="0B560953"/>
    <w:rsid w:val="0C4B5C16"/>
    <w:rsid w:val="0C745A9A"/>
    <w:rsid w:val="0CE7073F"/>
    <w:rsid w:val="0D020A0B"/>
    <w:rsid w:val="0E1427C0"/>
    <w:rsid w:val="0E171886"/>
    <w:rsid w:val="0EAD05D0"/>
    <w:rsid w:val="0EE522DB"/>
    <w:rsid w:val="117A57E3"/>
    <w:rsid w:val="12745F08"/>
    <w:rsid w:val="13250FB0"/>
    <w:rsid w:val="14B01AF0"/>
    <w:rsid w:val="15B6222E"/>
    <w:rsid w:val="17AB39D3"/>
    <w:rsid w:val="181071AC"/>
    <w:rsid w:val="19052AAF"/>
    <w:rsid w:val="191C52A8"/>
    <w:rsid w:val="19FD67E3"/>
    <w:rsid w:val="1B2D4345"/>
    <w:rsid w:val="1C4D191D"/>
    <w:rsid w:val="1CCC2E22"/>
    <w:rsid w:val="1D412E8A"/>
    <w:rsid w:val="1D9D0553"/>
    <w:rsid w:val="1EF36A8B"/>
    <w:rsid w:val="1FE56DE3"/>
    <w:rsid w:val="20D44015"/>
    <w:rsid w:val="21B960D2"/>
    <w:rsid w:val="21CB3A0E"/>
    <w:rsid w:val="21E54DB1"/>
    <w:rsid w:val="2237485C"/>
    <w:rsid w:val="23023104"/>
    <w:rsid w:val="25A72537"/>
    <w:rsid w:val="262D48F3"/>
    <w:rsid w:val="27816E34"/>
    <w:rsid w:val="27FF723F"/>
    <w:rsid w:val="28BE76A5"/>
    <w:rsid w:val="2A7523C5"/>
    <w:rsid w:val="2B566B28"/>
    <w:rsid w:val="310A7AFB"/>
    <w:rsid w:val="32C45A51"/>
    <w:rsid w:val="33570E46"/>
    <w:rsid w:val="33A81036"/>
    <w:rsid w:val="33AB4A62"/>
    <w:rsid w:val="33BD33EB"/>
    <w:rsid w:val="33EF2883"/>
    <w:rsid w:val="36126D79"/>
    <w:rsid w:val="38DF5965"/>
    <w:rsid w:val="3A014937"/>
    <w:rsid w:val="3A105485"/>
    <w:rsid w:val="3A6C6EB6"/>
    <w:rsid w:val="3B122E7E"/>
    <w:rsid w:val="3CDF6400"/>
    <w:rsid w:val="3DDF1A57"/>
    <w:rsid w:val="3E9265FB"/>
    <w:rsid w:val="409F0703"/>
    <w:rsid w:val="41F83BB0"/>
    <w:rsid w:val="435718DF"/>
    <w:rsid w:val="44055877"/>
    <w:rsid w:val="44802EB5"/>
    <w:rsid w:val="4551636C"/>
    <w:rsid w:val="478D0C4E"/>
    <w:rsid w:val="489B47BB"/>
    <w:rsid w:val="49367ADC"/>
    <w:rsid w:val="4A394D65"/>
    <w:rsid w:val="4BBF1485"/>
    <w:rsid w:val="4C0575F5"/>
    <w:rsid w:val="4C5345AF"/>
    <w:rsid w:val="4C5B4AC8"/>
    <w:rsid w:val="4D192DD4"/>
    <w:rsid w:val="4D3F4625"/>
    <w:rsid w:val="4DB932D4"/>
    <w:rsid w:val="4E751ACC"/>
    <w:rsid w:val="4F2545E5"/>
    <w:rsid w:val="4FF260E2"/>
    <w:rsid w:val="50670A52"/>
    <w:rsid w:val="52D61563"/>
    <w:rsid w:val="537B4906"/>
    <w:rsid w:val="540F0813"/>
    <w:rsid w:val="54371514"/>
    <w:rsid w:val="558C6691"/>
    <w:rsid w:val="55FB216C"/>
    <w:rsid w:val="576D0AD3"/>
    <w:rsid w:val="591A2BA2"/>
    <w:rsid w:val="5B354B4F"/>
    <w:rsid w:val="5B557525"/>
    <w:rsid w:val="5C24527D"/>
    <w:rsid w:val="5C8818DD"/>
    <w:rsid w:val="5DF4767B"/>
    <w:rsid w:val="5E313191"/>
    <w:rsid w:val="5E343D6A"/>
    <w:rsid w:val="5E40270F"/>
    <w:rsid w:val="5ED846F5"/>
    <w:rsid w:val="5F28521A"/>
    <w:rsid w:val="609964FE"/>
    <w:rsid w:val="614D5DDD"/>
    <w:rsid w:val="64260681"/>
    <w:rsid w:val="64C404E0"/>
    <w:rsid w:val="67056738"/>
    <w:rsid w:val="67822460"/>
    <w:rsid w:val="678D782E"/>
    <w:rsid w:val="690A5DF3"/>
    <w:rsid w:val="6B063579"/>
    <w:rsid w:val="6BFB7C75"/>
    <w:rsid w:val="6EE26368"/>
    <w:rsid w:val="6F7E6BF3"/>
    <w:rsid w:val="70AB374F"/>
    <w:rsid w:val="713779A1"/>
    <w:rsid w:val="721B4BCD"/>
    <w:rsid w:val="7322167A"/>
    <w:rsid w:val="73883B7D"/>
    <w:rsid w:val="74A86F2F"/>
    <w:rsid w:val="74AA1E66"/>
    <w:rsid w:val="74BE5EA9"/>
    <w:rsid w:val="7574395E"/>
    <w:rsid w:val="7637345C"/>
    <w:rsid w:val="76774012"/>
    <w:rsid w:val="771F2BE3"/>
    <w:rsid w:val="7816799E"/>
    <w:rsid w:val="78285131"/>
    <w:rsid w:val="7A2825F7"/>
    <w:rsid w:val="7A5B438C"/>
    <w:rsid w:val="7A752A91"/>
    <w:rsid w:val="7C375D79"/>
    <w:rsid w:val="7CB43C54"/>
    <w:rsid w:val="7F62291F"/>
    <w:rsid w:val="E6FF7883"/>
    <w:rsid w:val="EFF484D5"/>
    <w:rsid w:val="F9FF348C"/>
    <w:rsid w:val="FBF33429"/>
    <w:rsid w:val="FBFB5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简" w:asciiTheme="minorAscii" w:hAnsiTheme="minorAscii" w:eastAsiaTheme="minorEastAsia"/>
      <w:kern w:val="2"/>
      <w:sz w:val="28"/>
      <w:szCs w:val="28"/>
      <w:lang w:val="en-US" w:eastAsia="zh-CN" w:bidi="ar-SA"/>
    </w:rPr>
  </w:style>
  <w:style w:type="paragraph" w:styleId="2">
    <w:name w:val="heading 1"/>
    <w:basedOn w:val="1"/>
    <w:next w:val="1"/>
    <w:qFormat/>
    <w:uiPriority w:val="9"/>
    <w:pPr>
      <w:keepNext/>
      <w:keepLines/>
      <w:spacing w:before="100" w:beforeLines="100" w:after="50" w:afterLines="50"/>
      <w:jc w:val="center"/>
      <w:outlineLvl w:val="0"/>
    </w:pPr>
    <w:rPr>
      <w:rFonts w:eastAsia="黑体"/>
      <w:b/>
      <w:bCs/>
      <w:kern w:val="44"/>
      <w:sz w:val="44"/>
      <w:szCs w:val="44"/>
    </w:rPr>
  </w:style>
  <w:style w:type="paragraph" w:styleId="3">
    <w:name w:val="heading 2"/>
    <w:basedOn w:val="1"/>
    <w:next w:val="1"/>
    <w:autoRedefine/>
    <w:unhideWhenUsed/>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679</Words>
  <Characters>760</Characters>
  <Lines>0</Lines>
  <Paragraphs>0</Paragraphs>
  <TotalTime>0</TotalTime>
  <ScaleCrop>false</ScaleCrop>
  <LinksUpToDate>false</LinksUpToDate>
  <CharactersWithSpaces>762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2021-10-26T18:03:00Z</dcterms:created>
  <dc:creator>ζ</dc:creator>
  <cp:lastModifiedBy>小蜗的菠萝屋</cp:lastModifiedBy>
  <dcterms:modified xsi:type="dcterms:W3CDTF">2026-09-21T10:38:57Z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0CB5296F87224FA4991A7DC24EE7C1D1</vt:lpwstr>
  </property>
  <property fmtid="{D5CDD505-2E9C-101B-9397-08002B2CF9AE}" pid="4" name="KSOTemplateDocerSaveRecord">
    <vt:lpwstr>eyJoZGlkIjoiYzA2MzlkYTczNTI5ZTZlYjNmNzRhMmYwNmU1MTk2ZmYiLCJ1c2VySWQiOiIzNjQ2NzY4NDcifQ==</vt:lpwstr>
  </property>
</Properties>
</file>