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B8980F">
      <w:pPr>
        <w:pStyle w:val="10"/>
        <w:widowControl/>
        <w:shd w:val="clear" w:color="auto" w:fill="FFFFFF"/>
        <w:spacing w:before="0" w:beforeAutospacing="0" w:after="0" w:afterAutospacing="0" w:line="372" w:lineRule="atLeast"/>
        <w:jc w:val="center"/>
        <w:rPr>
          <w:rFonts w:ascii="STFangsong" w:hAnsi="STFangsong" w:eastAsia="STFangsong" w:cs="黑体"/>
          <w:bCs/>
          <w:color w:val="333333"/>
          <w:spacing w:val="11"/>
          <w:sz w:val="22"/>
          <w:szCs w:val="21"/>
          <w:shd w:val="clear" w:color="auto" w:fill="FFFFFF"/>
        </w:rPr>
      </w:pPr>
      <w:r>
        <mc:AlternateContent>
          <mc:Choice Requires="wps">
            <w:drawing>
              <wp:anchor distT="0" distB="0" distL="114300" distR="114300" simplePos="0" relativeHeight="251660288" behindDoc="0" locked="0" layoutInCell="1" allowOverlap="1">
                <wp:simplePos x="0" y="0"/>
                <wp:positionH relativeFrom="column">
                  <wp:posOffset>-61595</wp:posOffset>
                </wp:positionH>
                <wp:positionV relativeFrom="paragraph">
                  <wp:posOffset>50800</wp:posOffset>
                </wp:positionV>
                <wp:extent cx="5547995" cy="702945"/>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5547995" cy="702945"/>
                        </a:xfrm>
                        <a:prstGeom prst="rect">
                          <a:avLst/>
                        </a:prstGeom>
                        <a:noFill/>
                        <a:ln>
                          <a:noFill/>
                        </a:ln>
                        <a:effectLst/>
                      </wps:spPr>
                      <wps:txbx>
                        <w:txbxContent>
                          <w:p w14:paraId="2E25D7B4">
                            <w:pPr>
                              <w:jc w:val="center"/>
                              <w:rPr>
                                <w:rFonts w:ascii="STFangsong" w:hAnsi="STFangsong" w:eastAsia="STFangsong"/>
                                <w:b/>
                                <w:color w:val="FF0000"/>
                                <w:sz w:val="48"/>
                                <w:szCs w:val="48"/>
                              </w:rPr>
                            </w:pPr>
                            <w:r>
                              <w:rPr>
                                <w:rFonts w:hint="eastAsia" w:ascii="STFangsong" w:hAnsi="STFangsong" w:eastAsia="STFangsong"/>
                                <w:b/>
                                <w:color w:val="FF0000"/>
                                <w:sz w:val="44"/>
                                <w:szCs w:val="44"/>
                              </w:rPr>
                              <w:t>贵州龙博房地产开发有限公司临时管理</w:t>
                            </w:r>
                            <w:r>
                              <w:rPr>
                                <w:rFonts w:hint="eastAsia" w:ascii="STFangsong" w:hAnsi="STFangsong" w:eastAsia="STFangsong"/>
                                <w:b/>
                                <w:color w:val="FF0000"/>
                                <w:sz w:val="48"/>
                                <w:szCs w:val="48"/>
                              </w:rPr>
                              <w:t>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5pt;margin-top:4pt;height:55.35pt;width:436.85pt;mso-wrap-distance-bottom:0pt;mso-wrap-distance-left:9pt;mso-wrap-distance-right:9pt;mso-wrap-distance-top:0pt;z-index:251660288;mso-width-relative:page;mso-height-relative:page;" filled="f" stroked="f" coordsize="21600,21600" o:gfxdata="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Fjp5dLVAAAACAEAAA8AAAAAAAAAAQAgAAAAIgAAAGRycy9kb3ducmV2&#10;LnhtbFBLAQIUABQAAAAIAIdO4kCUCDpiOAIAAGsEAAAOAAAAAAAAAAEAIAAAACQBAABkcnMvZTJv&#10;RG9jLnhtbFBLBQYAAAAABgAGAFkBAADOBQAAAAA=&#10;">
                <v:fill on="f" focussize="0,0"/>
                <v:stroke on="f"/>
                <v:imagedata o:title=""/>
                <o:lock v:ext="edit" aspectratio="f"/>
                <v:textbox>
                  <w:txbxContent>
                    <w:p w14:paraId="2E25D7B4">
                      <w:pPr>
                        <w:jc w:val="center"/>
                        <w:rPr>
                          <w:rFonts w:ascii="STFangsong" w:hAnsi="STFangsong" w:eastAsia="STFangsong"/>
                          <w:b/>
                          <w:color w:val="FF0000"/>
                          <w:sz w:val="48"/>
                          <w:szCs w:val="48"/>
                        </w:rPr>
                      </w:pPr>
                      <w:r>
                        <w:rPr>
                          <w:rFonts w:hint="eastAsia" w:ascii="STFangsong" w:hAnsi="STFangsong" w:eastAsia="STFangsong"/>
                          <w:b/>
                          <w:color w:val="FF0000"/>
                          <w:sz w:val="44"/>
                          <w:szCs w:val="44"/>
                        </w:rPr>
                        <w:t>贵州龙博房地产开发有限公司临时管理</w:t>
                      </w:r>
                      <w:r>
                        <w:rPr>
                          <w:rFonts w:hint="eastAsia" w:ascii="STFangsong" w:hAnsi="STFangsong" w:eastAsia="STFangsong"/>
                          <w:b/>
                          <w:color w:val="FF0000"/>
                          <w:sz w:val="48"/>
                          <w:szCs w:val="48"/>
                        </w:rPr>
                        <w:t>人</w:t>
                      </w:r>
                    </w:p>
                  </w:txbxContent>
                </v:textbox>
                <w10:wrap type="square"/>
              </v:shape>
            </w:pict>
          </mc:Fallback>
        </mc:AlternateContent>
      </w:r>
      <w:r>
        <w:rPr>
          <w:rFonts w:ascii="STFangsong" w:hAnsi="STFangsong" w:eastAsia="STFangsong" w:cs="黑体"/>
          <w:bCs/>
          <w:color w:val="333333"/>
          <w:spacing w:val="11"/>
          <w:sz w:val="22"/>
          <w:szCs w:val="21"/>
          <w:shd w:val="clear" w:color="auto" w:fill="FFFFFF"/>
        </w:rPr>
        <w:t>（202</w:t>
      </w:r>
      <w:r>
        <w:rPr>
          <w:rFonts w:hint="eastAsia" w:ascii="STFangsong" w:hAnsi="STFangsong" w:eastAsia="STFangsong" w:cs="黑体"/>
          <w:bCs/>
          <w:color w:val="333333"/>
          <w:spacing w:val="11"/>
          <w:sz w:val="22"/>
          <w:szCs w:val="21"/>
          <w:shd w:val="clear" w:color="auto" w:fill="FFFFFF"/>
        </w:rPr>
        <w:t>6</w:t>
      </w:r>
      <w:r>
        <w:rPr>
          <w:rFonts w:ascii="STFangsong" w:hAnsi="STFangsong" w:eastAsia="STFangsong" w:cs="黑体"/>
          <w:bCs/>
          <w:color w:val="333333"/>
          <w:spacing w:val="11"/>
          <w:sz w:val="22"/>
          <w:szCs w:val="21"/>
          <w:shd w:val="clear" w:color="auto" w:fill="FFFFFF"/>
        </w:rPr>
        <w:t>）</w:t>
      </w:r>
      <w:r>
        <w:rPr>
          <w:rFonts w:hint="eastAsia" w:ascii="STFangsong" w:hAnsi="STFangsong" w:eastAsia="STFangsong" w:cs="黑体"/>
          <w:bCs/>
          <w:color w:val="333333"/>
          <w:spacing w:val="11"/>
          <w:sz w:val="22"/>
          <w:szCs w:val="21"/>
          <w:shd w:val="clear" w:color="auto" w:fill="FFFFFF"/>
          <w:lang w:eastAsia="zh-CN"/>
        </w:rPr>
        <w:t>龙博公司</w:t>
      </w:r>
      <w:r>
        <w:rPr>
          <w:rFonts w:hint="eastAsia" w:ascii="STFangsong" w:hAnsi="STFangsong" w:eastAsia="STFangsong" w:cs="黑体"/>
          <w:bCs/>
          <w:color w:val="333333"/>
          <w:spacing w:val="11"/>
          <w:sz w:val="22"/>
          <w:szCs w:val="21"/>
          <w:shd w:val="clear" w:color="auto" w:fill="FFFFFF"/>
        </w:rPr>
        <w:t>破</w:t>
      </w:r>
      <w:r>
        <w:rPr>
          <w:rFonts w:ascii="STFangsong" w:hAnsi="STFangsong" w:eastAsia="STFangsong" w:cs="黑体"/>
          <w:bCs/>
          <w:color w:val="333333"/>
          <w:spacing w:val="11"/>
          <w:sz w:val="22"/>
          <w:szCs w:val="21"/>
          <w:shd w:val="clear" w:color="auto" w:fill="FFFFFF"/>
        </w:rPr>
        <w:t>管</w:t>
      </w:r>
      <w:r>
        <w:rPr>
          <w:rFonts w:hint="eastAsia" w:ascii="STFangsong" w:hAnsi="STFangsong" w:eastAsia="STFangsong" w:cs="黑体"/>
          <w:bCs/>
          <w:color w:val="333333"/>
          <w:spacing w:val="11"/>
          <w:sz w:val="22"/>
          <w:szCs w:val="21"/>
          <w:shd w:val="clear" w:color="auto" w:fill="FFFFFF"/>
        </w:rPr>
        <w:t>（预）</w:t>
      </w:r>
      <w:r>
        <w:rPr>
          <w:rFonts w:ascii="STFangsong" w:hAnsi="STFangsong" w:eastAsia="STFangsong" w:cs="黑体"/>
          <w:bCs/>
          <w:color w:val="333333"/>
          <w:spacing w:val="11"/>
          <w:sz w:val="22"/>
          <w:szCs w:val="21"/>
          <w:shd w:val="clear" w:color="auto" w:fill="FFFFFF"/>
        </w:rPr>
        <w:t>字第00</w:t>
      </w:r>
      <w:r>
        <w:rPr>
          <w:rFonts w:hint="eastAsia" w:ascii="STFangsong" w:hAnsi="STFangsong" w:eastAsia="STFangsong" w:cs="黑体"/>
          <w:bCs/>
          <w:color w:val="333333"/>
          <w:spacing w:val="11"/>
          <w:sz w:val="22"/>
          <w:szCs w:val="21"/>
          <w:shd w:val="clear" w:color="auto" w:fill="FFFFFF"/>
          <w:lang w:val="en-US" w:eastAsia="zh-CN"/>
        </w:rPr>
        <w:t>3</w:t>
      </w:r>
      <w:r>
        <w:rPr>
          <w:rFonts w:hint="eastAsia" w:ascii="STFangsong" w:hAnsi="STFangsong" w:eastAsia="STFangsong" w:cs="黑体"/>
          <w:bCs/>
          <w:color w:val="333333"/>
          <w:spacing w:val="11"/>
          <w:sz w:val="22"/>
          <w:szCs w:val="21"/>
          <w:shd w:val="clear" w:color="auto" w:fill="FFFFFF"/>
        </w:rPr>
        <w:t>号</w:t>
      </w:r>
    </w:p>
    <w:p w14:paraId="45AE71CF">
      <w:pPr>
        <w:pStyle w:val="10"/>
        <w:widowControl/>
        <w:shd w:val="clear" w:color="auto" w:fill="FFFFFF"/>
        <w:spacing w:before="0" w:beforeAutospacing="0" w:after="0" w:afterAutospacing="0" w:line="372" w:lineRule="atLeast"/>
        <w:jc w:val="center"/>
        <w:rPr>
          <w:rFonts w:ascii="黑体" w:hAnsi="黑体" w:eastAsia="黑体" w:cs="黑体"/>
          <w:sz w:val="30"/>
          <w:szCs w:val="30"/>
        </w:rPr>
      </w:pPr>
      <w:r>
        <w:rPr>
          <w:sz w:val="18"/>
          <w:szCs w:val="18"/>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97155</wp:posOffset>
                </wp:positionV>
                <wp:extent cx="5257800" cy="635"/>
                <wp:effectExtent l="0" t="19050" r="19050" b="37465"/>
                <wp:wrapNone/>
                <wp:docPr id="1467173390" name="直接连接符 2"/>
                <wp:cNvGraphicFramePr/>
                <a:graphic xmlns:a="http://schemas.openxmlformats.org/drawingml/2006/main">
                  <a:graphicData uri="http://schemas.microsoft.com/office/word/2010/wordprocessingShape">
                    <wps:wsp>
                      <wps:cNvCnPr/>
                      <wps:spPr>
                        <a:xfrm flipV="1">
                          <a:off x="0" y="0"/>
                          <a:ext cx="5257800" cy="635"/>
                        </a:xfrm>
                        <a:prstGeom prst="line">
                          <a:avLst/>
                        </a:prstGeom>
                        <a:noFill/>
                        <a:ln w="28575" cap="flat" cmpd="sng" algn="ctr">
                          <a:solidFill>
                            <a:srgbClr val="FF0000"/>
                          </a:solidFill>
                          <a:prstDash val="solid"/>
                          <a:miter lim="800000"/>
                        </a:ln>
                        <a:effectLst/>
                      </wps:spPr>
                      <wps:bodyPr/>
                    </wps:wsp>
                  </a:graphicData>
                </a:graphic>
              </wp:anchor>
            </w:drawing>
          </mc:Choice>
          <mc:Fallback>
            <w:pict>
              <v:line id="直接连接符 2" o:spid="_x0000_s1026" o:spt="20" style="position:absolute;left:0pt;flip:y;margin-left:0pt;margin-top:7.65pt;height:0.05pt;width:414pt;z-index:251661312;mso-width-relative:page;mso-height-relative:page;" filled="f" stroked="t" coordsize="21600,21600" o:gfxdata="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iUDZ3dYAAAAGAQAADwAAAAAAAAABACAAAAAiAAAAZHJzL2Rvd25yZXYu&#10;eG1sUEsBAhQAFAAAAAgAh07iQPPmrIj9AQAA1QMAAA4AAAAAAAAAAQAgAAAAJQEAAGRycy9lMm9E&#10;b2MueG1sUEsFBgAAAAAGAAYAWQEAAJQFAAAAAA==&#10;">
                <v:fill on="f" focussize="0,0"/>
                <v:stroke weight="2.25pt" color="#FF0000" miterlimit="8" joinstyle="miter"/>
                <v:imagedata o:title=""/>
                <o:lock v:ext="edit" aspectratio="f"/>
              </v:line>
            </w:pict>
          </mc:Fallback>
        </mc:AlternateContent>
      </w:r>
    </w:p>
    <w:p w14:paraId="5050DD80">
      <w:pPr>
        <w:pStyle w:val="31"/>
        <w:snapToGrid w:val="0"/>
        <w:spacing w:before="156" w:beforeLines="50" w:after="156" w:afterLines="50" w:line="360" w:lineRule="auto"/>
        <w:jc w:val="center"/>
        <w:rPr>
          <w:rFonts w:ascii="黑体" w:hAnsi="黑体" w:eastAsia="黑体" w:cs="微软雅黑"/>
          <w:b/>
          <w:bCs/>
          <w:sz w:val="36"/>
          <w:szCs w:val="36"/>
          <w:lang w:eastAsia="zh-CN"/>
        </w:rPr>
      </w:pPr>
      <w:r>
        <w:rPr>
          <w:rFonts w:hint="eastAsia" w:ascii="黑体" w:hAnsi="黑体" w:eastAsia="黑体" w:cs="微软雅黑"/>
          <w:b/>
          <w:bCs/>
          <w:sz w:val="36"/>
          <w:szCs w:val="36"/>
          <w:lang w:eastAsia="zh-CN"/>
        </w:rPr>
        <w:t>关于公开选聘评估机构的公告</w:t>
      </w:r>
    </w:p>
    <w:p w14:paraId="494E6665">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贵阳市中级人民法院于2026年9月22日作出（2025）黔01破申34号决定书，决定对贵州龙博房地产开发有限公司（下称龙博</w:t>
      </w:r>
      <w:r>
        <w:rPr>
          <w:rFonts w:hint="eastAsia" w:ascii="仿宋" w:hAnsi="仿宋" w:eastAsia="仿宋" w:cs="仿宋"/>
          <w:sz w:val="28"/>
          <w:szCs w:val="28"/>
          <w:lang w:val="en-US" w:eastAsia="zh-CN"/>
        </w:rPr>
        <w:t>公司或债务人</w:t>
      </w:r>
      <w:r>
        <w:rPr>
          <w:rFonts w:hint="eastAsia" w:ascii="仿宋" w:hAnsi="仿宋" w:eastAsia="仿宋" w:cs="仿宋"/>
          <w:sz w:val="28"/>
          <w:szCs w:val="28"/>
          <w:lang w:val="zh-CN"/>
        </w:rPr>
        <w:t>）预重整，并于同日指定贵州北斗星律师事务所担任龙博公司临时管理人。</w:t>
      </w:r>
    </w:p>
    <w:p w14:paraId="5FBB03EF">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为提高预重整效率，充分保护债权人的利益，参照《中华人民共和国企业破产法》第二十八条第一款的规定，临时管理人拟公开选聘评估机构对龙博公司</w:t>
      </w:r>
      <w:r>
        <w:rPr>
          <w:rFonts w:hint="eastAsia" w:ascii="仿宋" w:hAnsi="仿宋" w:eastAsia="仿宋" w:cs="仿宋"/>
          <w:sz w:val="28"/>
          <w:szCs w:val="28"/>
        </w:rPr>
        <w:t>资产</w:t>
      </w:r>
      <w:r>
        <w:rPr>
          <w:rFonts w:hint="eastAsia" w:ascii="仿宋" w:hAnsi="仿宋" w:eastAsia="仿宋" w:cs="仿宋"/>
          <w:sz w:val="28"/>
          <w:szCs w:val="28"/>
          <w:lang w:val="zh-CN"/>
        </w:rPr>
        <w:t>开展评估工作。现将相关</w:t>
      </w:r>
      <w:r>
        <w:rPr>
          <w:rFonts w:hint="eastAsia" w:ascii="仿宋" w:hAnsi="仿宋" w:eastAsia="仿宋" w:cs="仿宋"/>
          <w:sz w:val="28"/>
          <w:szCs w:val="28"/>
        </w:rPr>
        <w:t>事项</w:t>
      </w:r>
      <w:r>
        <w:rPr>
          <w:rFonts w:hint="eastAsia" w:ascii="仿宋" w:hAnsi="仿宋" w:eastAsia="仿宋" w:cs="仿宋"/>
          <w:sz w:val="28"/>
          <w:szCs w:val="28"/>
          <w:lang w:val="zh-CN"/>
        </w:rPr>
        <w:t>公告如下:</w:t>
      </w:r>
    </w:p>
    <w:p w14:paraId="2492E076">
      <w:pPr>
        <w:pStyle w:val="37"/>
        <w:numPr>
          <w:ilvl w:val="0"/>
          <w:numId w:val="1"/>
        </w:numPr>
        <w:snapToGrid w:val="0"/>
        <w:spacing w:line="360" w:lineRule="auto"/>
        <w:ind w:firstLineChars="0"/>
        <w:rPr>
          <w:rFonts w:ascii="黑体" w:hAnsi="黑体" w:eastAsia="黑体" w:cs="仿宋"/>
          <w:b/>
          <w:bCs/>
          <w:sz w:val="28"/>
          <w:szCs w:val="28"/>
          <w:lang w:val="zh-CN"/>
        </w:rPr>
      </w:pPr>
      <w:r>
        <w:rPr>
          <w:rFonts w:hint="eastAsia" w:ascii="黑体" w:hAnsi="黑体" w:eastAsia="黑体" w:cs="仿宋"/>
          <w:b/>
          <w:bCs/>
          <w:sz w:val="28"/>
          <w:szCs w:val="28"/>
          <w:lang w:val="zh-CN"/>
        </w:rPr>
        <w:t>龙博公司基本情况</w:t>
      </w:r>
    </w:p>
    <w:p w14:paraId="31B9D34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龙博公司目前持有贵阳市市场监督管理局于2024年10月22日核发的统一社会信用代码为</w:t>
      </w:r>
      <w:r>
        <w:rPr>
          <w:rFonts w:ascii="仿宋" w:hAnsi="仿宋" w:eastAsia="仿宋" w:cs="仿宋"/>
          <w:sz w:val="28"/>
          <w:szCs w:val="28"/>
          <w:lang w:val="zh-CN"/>
        </w:rPr>
        <w:t>915201007897769809</w:t>
      </w:r>
      <w:r>
        <w:rPr>
          <w:rFonts w:hint="eastAsia" w:ascii="仿宋" w:hAnsi="仿宋" w:eastAsia="仿宋" w:cs="仿宋"/>
          <w:sz w:val="28"/>
          <w:szCs w:val="28"/>
          <w:lang w:val="zh-CN"/>
        </w:rPr>
        <w:t>的《营业执照》，载明信息如下：</w:t>
      </w:r>
    </w:p>
    <w:tbl>
      <w:tblPr>
        <w:tblStyle w:val="12"/>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2"/>
        <w:gridCol w:w="6492"/>
      </w:tblGrid>
      <w:tr w14:paraId="2689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0EB1E6A">
            <w:pPr>
              <w:spacing w:line="360" w:lineRule="auto"/>
              <w:rPr>
                <w:rFonts w:ascii="仿宋" w:hAnsi="仿宋" w:eastAsia="仿宋" w:cs="仿宋"/>
                <w:sz w:val="24"/>
                <w:lang w:val="zh-CN"/>
              </w:rPr>
            </w:pPr>
            <w:r>
              <w:rPr>
                <w:rFonts w:hint="eastAsia" w:ascii="仿宋" w:hAnsi="仿宋" w:eastAsia="仿宋" w:cs="仿宋"/>
                <w:sz w:val="24"/>
                <w:lang w:val="zh-CN"/>
              </w:rPr>
              <w:t>企业名称</w:t>
            </w:r>
          </w:p>
        </w:tc>
        <w:tc>
          <w:tcPr>
            <w:tcW w:w="6492" w:type="dxa"/>
            <w:vAlign w:val="center"/>
          </w:tcPr>
          <w:p w14:paraId="16FA9743">
            <w:pPr>
              <w:spacing w:line="360" w:lineRule="auto"/>
              <w:rPr>
                <w:rFonts w:ascii="仿宋" w:hAnsi="仿宋" w:eastAsia="仿宋" w:cs="仿宋"/>
                <w:sz w:val="24"/>
                <w:lang w:val="zh-CN"/>
              </w:rPr>
            </w:pPr>
            <w:r>
              <w:rPr>
                <w:rFonts w:hint="eastAsia" w:ascii="仿宋" w:hAnsi="仿宋" w:eastAsia="仿宋" w:cs="仿宋"/>
                <w:sz w:val="24"/>
                <w:lang w:val="zh-CN"/>
              </w:rPr>
              <w:t>贵州龙博房地产开发有限公司</w:t>
            </w:r>
          </w:p>
        </w:tc>
      </w:tr>
      <w:tr w14:paraId="34E8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072B81F0">
            <w:pPr>
              <w:spacing w:line="360" w:lineRule="auto"/>
              <w:rPr>
                <w:rFonts w:ascii="仿宋" w:hAnsi="仿宋" w:eastAsia="仿宋" w:cs="仿宋"/>
                <w:sz w:val="24"/>
                <w:lang w:val="zh-CN"/>
              </w:rPr>
            </w:pPr>
            <w:r>
              <w:rPr>
                <w:rFonts w:hint="eastAsia" w:ascii="仿宋" w:hAnsi="仿宋" w:eastAsia="仿宋" w:cs="仿宋"/>
                <w:sz w:val="24"/>
                <w:lang w:val="zh-CN"/>
              </w:rPr>
              <w:t>类    型</w:t>
            </w:r>
          </w:p>
        </w:tc>
        <w:tc>
          <w:tcPr>
            <w:tcW w:w="6492" w:type="dxa"/>
            <w:vAlign w:val="center"/>
          </w:tcPr>
          <w:p w14:paraId="2B249155">
            <w:pPr>
              <w:spacing w:line="360" w:lineRule="auto"/>
              <w:rPr>
                <w:rFonts w:ascii="仿宋" w:hAnsi="仿宋" w:eastAsia="仿宋" w:cs="仿宋"/>
                <w:sz w:val="24"/>
                <w:lang w:val="zh-CN"/>
              </w:rPr>
            </w:pPr>
            <w:r>
              <w:rPr>
                <w:rFonts w:hint="eastAsia" w:ascii="仿宋" w:hAnsi="仿宋" w:eastAsia="仿宋" w:cs="仿宋"/>
                <w:sz w:val="24"/>
                <w:lang w:val="zh-CN"/>
              </w:rPr>
              <w:t>有限责任公司(自然人独资)</w:t>
            </w:r>
          </w:p>
        </w:tc>
      </w:tr>
      <w:tr w14:paraId="1D08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8FCEF3F">
            <w:pPr>
              <w:spacing w:line="360" w:lineRule="auto"/>
              <w:rPr>
                <w:rFonts w:ascii="仿宋" w:hAnsi="仿宋" w:eastAsia="仿宋" w:cs="仿宋"/>
                <w:sz w:val="24"/>
                <w:lang w:val="zh-CN"/>
              </w:rPr>
            </w:pPr>
            <w:r>
              <w:rPr>
                <w:rFonts w:hint="eastAsia" w:ascii="仿宋" w:hAnsi="仿宋" w:eastAsia="仿宋" w:cs="仿宋"/>
                <w:sz w:val="24"/>
                <w:lang w:val="zh-CN"/>
              </w:rPr>
              <w:t>注册资本</w:t>
            </w:r>
          </w:p>
        </w:tc>
        <w:tc>
          <w:tcPr>
            <w:tcW w:w="6492" w:type="dxa"/>
            <w:vAlign w:val="center"/>
          </w:tcPr>
          <w:p w14:paraId="2A731C14">
            <w:pPr>
              <w:spacing w:line="360" w:lineRule="auto"/>
              <w:rPr>
                <w:rFonts w:ascii="仿宋" w:hAnsi="仿宋" w:eastAsia="仿宋" w:cs="仿宋"/>
                <w:sz w:val="24"/>
                <w:lang w:val="zh-CN"/>
              </w:rPr>
            </w:pPr>
            <w:r>
              <w:rPr>
                <w:rFonts w:hint="eastAsia" w:ascii="仿宋" w:hAnsi="仿宋" w:eastAsia="仿宋" w:cs="仿宋"/>
                <w:sz w:val="24"/>
                <w:lang w:val="zh-CN"/>
              </w:rPr>
              <w:t>1013万元人民币</w:t>
            </w:r>
          </w:p>
        </w:tc>
      </w:tr>
      <w:tr w14:paraId="0BB2E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872" w:type="dxa"/>
            <w:shd w:val="clear" w:color="auto" w:fill="D8D8D8"/>
            <w:vAlign w:val="center"/>
          </w:tcPr>
          <w:p w14:paraId="7CE21C51">
            <w:pPr>
              <w:spacing w:line="360" w:lineRule="auto"/>
              <w:rPr>
                <w:rFonts w:ascii="仿宋" w:hAnsi="仿宋" w:eastAsia="仿宋" w:cs="仿宋"/>
                <w:sz w:val="24"/>
                <w:lang w:val="zh-CN"/>
              </w:rPr>
            </w:pPr>
            <w:r>
              <w:rPr>
                <w:rFonts w:hint="eastAsia" w:ascii="仿宋" w:hAnsi="仿宋" w:eastAsia="仿宋" w:cs="仿宋"/>
                <w:sz w:val="24"/>
                <w:lang w:val="zh-CN"/>
              </w:rPr>
              <w:t>经营范围</w:t>
            </w:r>
          </w:p>
        </w:tc>
        <w:tc>
          <w:tcPr>
            <w:tcW w:w="6492" w:type="dxa"/>
            <w:vAlign w:val="center"/>
          </w:tcPr>
          <w:p w14:paraId="09653BC7">
            <w:pPr>
              <w:spacing w:line="360" w:lineRule="auto"/>
              <w:rPr>
                <w:rFonts w:ascii="仿宋" w:hAnsi="仿宋" w:eastAsia="仿宋" w:cs="仿宋"/>
                <w:sz w:val="24"/>
                <w:lang w:val="zh-CN"/>
              </w:rPr>
            </w:pPr>
            <w:r>
              <w:rPr>
                <w:rFonts w:hint="eastAsia" w:ascii="仿宋" w:hAnsi="仿宋" w:eastAsia="仿宋" w:cs="仿宋"/>
                <w:sz w:val="24"/>
                <w:lang w:val="zh-CN"/>
              </w:rPr>
              <w:t>房地产开发经营，房地产业务咨询、房屋租赁。</w:t>
            </w:r>
          </w:p>
        </w:tc>
      </w:tr>
      <w:tr w14:paraId="0F35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872" w:type="dxa"/>
            <w:shd w:val="clear" w:color="auto" w:fill="D8D8D8"/>
            <w:vAlign w:val="center"/>
          </w:tcPr>
          <w:p w14:paraId="69655242">
            <w:pPr>
              <w:spacing w:line="360" w:lineRule="auto"/>
              <w:rPr>
                <w:rFonts w:ascii="仿宋" w:hAnsi="仿宋" w:eastAsia="仿宋" w:cs="仿宋"/>
                <w:sz w:val="24"/>
                <w:lang w:val="zh-CN"/>
              </w:rPr>
            </w:pPr>
            <w:r>
              <w:rPr>
                <w:rFonts w:hint="eastAsia" w:ascii="仿宋" w:hAnsi="仿宋" w:eastAsia="仿宋" w:cs="仿宋"/>
                <w:sz w:val="24"/>
                <w:lang w:val="zh-CN"/>
              </w:rPr>
              <w:t>法定代表人</w:t>
            </w:r>
          </w:p>
        </w:tc>
        <w:tc>
          <w:tcPr>
            <w:tcW w:w="6492" w:type="dxa"/>
            <w:vAlign w:val="center"/>
          </w:tcPr>
          <w:p w14:paraId="6F118C02">
            <w:pPr>
              <w:spacing w:line="360" w:lineRule="auto"/>
              <w:rPr>
                <w:rFonts w:ascii="仿宋" w:hAnsi="仿宋" w:eastAsia="仿宋" w:cs="仿宋"/>
                <w:sz w:val="24"/>
                <w:lang w:val="zh-CN"/>
              </w:rPr>
            </w:pPr>
            <w:r>
              <w:rPr>
                <w:rFonts w:hint="eastAsia" w:ascii="仿宋" w:hAnsi="仿宋" w:eastAsia="仿宋" w:cs="仿宋"/>
                <w:sz w:val="24"/>
                <w:lang w:val="zh-CN"/>
              </w:rPr>
              <w:t>肖道挺</w:t>
            </w:r>
          </w:p>
        </w:tc>
      </w:tr>
      <w:tr w14:paraId="4918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0533A6DA">
            <w:pPr>
              <w:spacing w:line="360" w:lineRule="auto"/>
              <w:rPr>
                <w:rFonts w:ascii="仿宋" w:hAnsi="仿宋" w:eastAsia="仿宋" w:cs="仿宋"/>
                <w:sz w:val="24"/>
                <w:lang w:val="zh-CN"/>
              </w:rPr>
            </w:pPr>
            <w:r>
              <w:rPr>
                <w:rFonts w:hint="eastAsia" w:ascii="仿宋" w:hAnsi="仿宋" w:eastAsia="仿宋" w:cs="仿宋"/>
                <w:sz w:val="24"/>
                <w:lang w:val="zh-CN"/>
              </w:rPr>
              <w:t>成立</w:t>
            </w:r>
            <w:r>
              <w:rPr>
                <w:rFonts w:ascii="仿宋" w:hAnsi="仿宋" w:eastAsia="仿宋" w:cs="仿宋"/>
                <w:sz w:val="24"/>
                <w:lang w:val="zh-CN"/>
              </w:rPr>
              <w:t>日期</w:t>
            </w:r>
          </w:p>
        </w:tc>
        <w:tc>
          <w:tcPr>
            <w:tcW w:w="6492" w:type="dxa"/>
            <w:vAlign w:val="center"/>
          </w:tcPr>
          <w:p w14:paraId="2994B60A">
            <w:pPr>
              <w:spacing w:line="360" w:lineRule="auto"/>
              <w:rPr>
                <w:rFonts w:ascii="仿宋" w:hAnsi="仿宋" w:eastAsia="仿宋" w:cs="仿宋"/>
                <w:sz w:val="24"/>
                <w:lang w:val="zh-CN"/>
              </w:rPr>
            </w:pPr>
            <w:r>
              <w:rPr>
                <w:rFonts w:hint="eastAsia" w:ascii="仿宋" w:hAnsi="仿宋" w:eastAsia="仿宋" w:cs="仿宋"/>
                <w:sz w:val="24"/>
                <w:lang w:val="zh-CN"/>
              </w:rPr>
              <w:t>2006年9月21日</w:t>
            </w:r>
          </w:p>
        </w:tc>
      </w:tr>
      <w:tr w14:paraId="2C37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47C0D041">
            <w:pPr>
              <w:spacing w:line="360" w:lineRule="auto"/>
              <w:rPr>
                <w:rFonts w:ascii="仿宋" w:hAnsi="仿宋" w:eastAsia="仿宋" w:cs="仿宋"/>
                <w:sz w:val="24"/>
                <w:lang w:val="zh-CN"/>
              </w:rPr>
            </w:pPr>
            <w:r>
              <w:rPr>
                <w:rFonts w:hint="eastAsia" w:ascii="仿宋" w:hAnsi="仿宋" w:eastAsia="仿宋" w:cs="仿宋"/>
                <w:sz w:val="24"/>
                <w:lang w:val="zh-CN"/>
              </w:rPr>
              <w:t>营业期限</w:t>
            </w:r>
          </w:p>
        </w:tc>
        <w:tc>
          <w:tcPr>
            <w:tcW w:w="6492" w:type="dxa"/>
            <w:vAlign w:val="center"/>
          </w:tcPr>
          <w:p w14:paraId="4B02244E">
            <w:pPr>
              <w:spacing w:line="360" w:lineRule="auto"/>
              <w:rPr>
                <w:rFonts w:ascii="仿宋" w:hAnsi="仿宋" w:eastAsia="仿宋" w:cs="仿宋"/>
                <w:sz w:val="24"/>
                <w:lang w:val="zh-CN"/>
              </w:rPr>
            </w:pPr>
            <w:r>
              <w:rPr>
                <w:rFonts w:hint="eastAsia" w:ascii="仿宋" w:hAnsi="仿宋" w:eastAsia="仿宋" w:cs="仿宋"/>
                <w:sz w:val="24"/>
                <w:lang w:val="zh-CN"/>
              </w:rPr>
              <w:t>2006年9月21日至2026年9月20日</w:t>
            </w:r>
          </w:p>
        </w:tc>
      </w:tr>
      <w:tr w14:paraId="2D12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2" w:type="dxa"/>
            <w:shd w:val="clear" w:color="auto" w:fill="D8D8D8"/>
            <w:vAlign w:val="center"/>
          </w:tcPr>
          <w:p w14:paraId="6DA4CB8B">
            <w:pPr>
              <w:spacing w:line="360" w:lineRule="auto"/>
              <w:rPr>
                <w:rFonts w:ascii="仿宋" w:hAnsi="仿宋" w:eastAsia="仿宋" w:cs="仿宋"/>
                <w:sz w:val="24"/>
                <w:lang w:val="zh-CN"/>
              </w:rPr>
            </w:pPr>
            <w:r>
              <w:rPr>
                <w:rFonts w:hint="eastAsia" w:ascii="仿宋" w:hAnsi="仿宋" w:eastAsia="仿宋" w:cs="仿宋"/>
                <w:sz w:val="24"/>
                <w:lang w:val="zh-CN"/>
              </w:rPr>
              <w:t>住    所</w:t>
            </w:r>
          </w:p>
        </w:tc>
        <w:tc>
          <w:tcPr>
            <w:tcW w:w="6492" w:type="dxa"/>
            <w:vAlign w:val="center"/>
          </w:tcPr>
          <w:p w14:paraId="66217859">
            <w:pPr>
              <w:spacing w:line="360" w:lineRule="auto"/>
              <w:rPr>
                <w:rFonts w:ascii="仿宋" w:hAnsi="仿宋" w:eastAsia="仿宋" w:cs="仿宋"/>
                <w:sz w:val="24"/>
                <w:lang w:val="zh-CN"/>
              </w:rPr>
            </w:pPr>
            <w:r>
              <w:rPr>
                <w:rFonts w:hint="eastAsia" w:ascii="仿宋" w:hAnsi="仿宋" w:eastAsia="仿宋" w:cs="仿宋"/>
                <w:sz w:val="24"/>
                <w:lang w:val="zh-CN"/>
              </w:rPr>
              <w:t>贵州省贵阳市白云区龙井路289号办公楼4楼</w:t>
            </w:r>
          </w:p>
        </w:tc>
      </w:tr>
    </w:tbl>
    <w:p w14:paraId="5C2E5E24">
      <w:pPr>
        <w:snapToGrid w:val="0"/>
        <w:spacing w:line="360" w:lineRule="auto"/>
        <w:ind w:firstLine="562" w:firstLineChars="200"/>
        <w:rPr>
          <w:rFonts w:ascii="黑体" w:hAnsi="黑体" w:eastAsia="黑体" w:cs="仿宋"/>
          <w:b/>
          <w:bCs/>
          <w:sz w:val="28"/>
          <w:szCs w:val="28"/>
          <w:lang w:val="zh-CN"/>
        </w:rPr>
      </w:pPr>
    </w:p>
    <w:p w14:paraId="4764B153">
      <w:pPr>
        <w:snapToGrid w:val="0"/>
        <w:spacing w:line="360" w:lineRule="auto"/>
        <w:ind w:firstLine="562" w:firstLineChars="200"/>
        <w:rPr>
          <w:rFonts w:ascii="黑体" w:hAnsi="黑体" w:eastAsia="黑体" w:cs="仿宋"/>
          <w:b/>
          <w:bCs/>
          <w:sz w:val="28"/>
          <w:szCs w:val="28"/>
          <w:lang w:val="zh-CN"/>
        </w:rPr>
      </w:pPr>
      <w:r>
        <w:rPr>
          <w:rFonts w:hint="eastAsia" w:ascii="黑体" w:hAnsi="黑体" w:eastAsia="黑体" w:cs="仿宋"/>
          <w:b/>
          <w:bCs/>
          <w:sz w:val="28"/>
          <w:szCs w:val="28"/>
          <w:lang w:val="zh-CN"/>
        </w:rPr>
        <w:t>二、资产概况</w:t>
      </w:r>
    </w:p>
    <w:p w14:paraId="7CF39C15">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主要为坐落于白云区云峰大道地号为B-09-168 、B-09-169、 B-09-176 号三宗国有土地使用权：</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1294"/>
        <w:gridCol w:w="3035"/>
        <w:gridCol w:w="1933"/>
        <w:gridCol w:w="1289"/>
      </w:tblGrid>
      <w:tr w14:paraId="55C43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449" w:type="pct"/>
            <w:shd w:val="clear" w:color="auto" w:fill="D9D9D9"/>
            <w:vAlign w:val="center"/>
          </w:tcPr>
          <w:p w14:paraId="28B7D727">
            <w:pPr>
              <w:spacing w:line="360" w:lineRule="auto"/>
              <w:jc w:val="center"/>
              <w:rPr>
                <w:rFonts w:ascii="仿宋" w:hAnsi="仿宋" w:eastAsia="仿宋"/>
                <w:b/>
                <w:bCs/>
                <w:sz w:val="24"/>
              </w:rPr>
            </w:pPr>
            <w:r>
              <w:rPr>
                <w:rFonts w:hint="eastAsia" w:ascii="仿宋" w:hAnsi="仿宋" w:eastAsia="仿宋"/>
                <w:b/>
                <w:bCs/>
                <w:sz w:val="24"/>
              </w:rPr>
              <w:t>序号</w:t>
            </w:r>
          </w:p>
        </w:tc>
        <w:tc>
          <w:tcPr>
            <w:tcW w:w="780" w:type="pct"/>
            <w:shd w:val="clear" w:color="auto" w:fill="D9D9D9"/>
            <w:vAlign w:val="center"/>
          </w:tcPr>
          <w:p w14:paraId="2FC5C0DF">
            <w:pPr>
              <w:spacing w:line="360" w:lineRule="auto"/>
              <w:jc w:val="center"/>
              <w:rPr>
                <w:rFonts w:ascii="仿宋" w:hAnsi="仿宋" w:eastAsia="仿宋"/>
                <w:b/>
                <w:bCs/>
                <w:sz w:val="24"/>
              </w:rPr>
            </w:pPr>
            <w:r>
              <w:rPr>
                <w:rFonts w:hint="eastAsia" w:ascii="仿宋" w:hAnsi="仿宋" w:eastAsia="仿宋"/>
                <w:b/>
                <w:bCs/>
                <w:sz w:val="24"/>
              </w:rPr>
              <w:t>地块编号</w:t>
            </w:r>
          </w:p>
        </w:tc>
        <w:tc>
          <w:tcPr>
            <w:tcW w:w="1829" w:type="pct"/>
            <w:shd w:val="clear" w:color="auto" w:fill="D9D9D9"/>
            <w:vAlign w:val="center"/>
          </w:tcPr>
          <w:p w14:paraId="5084EC59">
            <w:pPr>
              <w:spacing w:line="360" w:lineRule="auto"/>
              <w:jc w:val="center"/>
              <w:rPr>
                <w:rFonts w:ascii="仿宋" w:hAnsi="仿宋" w:eastAsia="仿宋"/>
                <w:b/>
                <w:bCs/>
                <w:sz w:val="24"/>
              </w:rPr>
            </w:pPr>
            <w:r>
              <w:rPr>
                <w:rFonts w:hint="eastAsia" w:ascii="仿宋" w:hAnsi="仿宋" w:eastAsia="仿宋"/>
                <w:b/>
                <w:bCs/>
                <w:sz w:val="24"/>
              </w:rPr>
              <w:t>土地证号</w:t>
            </w:r>
          </w:p>
        </w:tc>
        <w:tc>
          <w:tcPr>
            <w:tcW w:w="1165" w:type="pct"/>
            <w:shd w:val="clear" w:color="auto" w:fill="D9D9D9"/>
            <w:vAlign w:val="center"/>
          </w:tcPr>
          <w:p w14:paraId="166BFB29">
            <w:pPr>
              <w:spacing w:line="360" w:lineRule="auto"/>
              <w:jc w:val="center"/>
              <w:rPr>
                <w:rFonts w:ascii="仿宋" w:hAnsi="仿宋" w:eastAsia="仿宋"/>
                <w:b/>
                <w:bCs/>
                <w:sz w:val="24"/>
              </w:rPr>
            </w:pPr>
            <w:r>
              <w:rPr>
                <w:rFonts w:hint="eastAsia" w:ascii="仿宋" w:hAnsi="仿宋" w:eastAsia="仿宋"/>
                <w:b/>
                <w:bCs/>
                <w:sz w:val="24"/>
              </w:rPr>
              <w:t>土地证取得时间</w:t>
            </w:r>
          </w:p>
        </w:tc>
        <w:tc>
          <w:tcPr>
            <w:tcW w:w="777" w:type="pct"/>
            <w:shd w:val="clear" w:color="auto" w:fill="D9D9D9"/>
            <w:vAlign w:val="center"/>
          </w:tcPr>
          <w:p w14:paraId="478F0BCA">
            <w:pPr>
              <w:spacing w:line="360" w:lineRule="auto"/>
              <w:jc w:val="center"/>
              <w:rPr>
                <w:rFonts w:ascii="仿宋" w:hAnsi="仿宋" w:eastAsia="仿宋"/>
                <w:b/>
                <w:bCs/>
                <w:sz w:val="24"/>
              </w:rPr>
            </w:pPr>
            <w:r>
              <w:rPr>
                <w:rFonts w:hint="eastAsia" w:ascii="仿宋" w:hAnsi="仿宋" w:eastAsia="仿宋"/>
                <w:b/>
                <w:bCs/>
                <w:sz w:val="24"/>
              </w:rPr>
              <w:t>面积/m</w:t>
            </w:r>
            <w:r>
              <w:rPr>
                <w:rFonts w:hint="eastAsia" w:ascii="仿宋" w:hAnsi="仿宋" w:eastAsia="仿宋"/>
                <w:b/>
                <w:bCs/>
                <w:sz w:val="24"/>
                <w:vertAlign w:val="superscript"/>
              </w:rPr>
              <w:t>2</w:t>
            </w:r>
          </w:p>
        </w:tc>
      </w:tr>
      <w:tr w14:paraId="0F0EF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449" w:type="pct"/>
            <w:vAlign w:val="center"/>
          </w:tcPr>
          <w:p w14:paraId="62ADE103">
            <w:pPr>
              <w:spacing w:line="360" w:lineRule="auto"/>
              <w:jc w:val="center"/>
              <w:rPr>
                <w:rFonts w:ascii="仿宋" w:hAnsi="仿宋" w:eastAsia="仿宋"/>
                <w:sz w:val="24"/>
              </w:rPr>
            </w:pPr>
            <w:r>
              <w:rPr>
                <w:rFonts w:hint="eastAsia" w:ascii="仿宋" w:hAnsi="仿宋" w:eastAsia="仿宋"/>
                <w:sz w:val="24"/>
              </w:rPr>
              <w:t>1</w:t>
            </w:r>
          </w:p>
        </w:tc>
        <w:tc>
          <w:tcPr>
            <w:tcW w:w="780" w:type="pct"/>
            <w:vAlign w:val="center"/>
          </w:tcPr>
          <w:p w14:paraId="439E146B">
            <w:pPr>
              <w:spacing w:line="360" w:lineRule="auto"/>
              <w:jc w:val="center"/>
              <w:rPr>
                <w:rFonts w:ascii="仿宋" w:hAnsi="仿宋" w:eastAsia="仿宋"/>
                <w:sz w:val="24"/>
              </w:rPr>
            </w:pPr>
            <w:r>
              <w:rPr>
                <w:rFonts w:ascii="仿宋" w:hAnsi="仿宋" w:eastAsia="仿宋"/>
                <w:sz w:val="24"/>
              </w:rPr>
              <w:t>B-09-168</w:t>
            </w:r>
          </w:p>
        </w:tc>
        <w:tc>
          <w:tcPr>
            <w:tcW w:w="1829" w:type="pct"/>
            <w:vAlign w:val="center"/>
          </w:tcPr>
          <w:p w14:paraId="22822F07">
            <w:pPr>
              <w:spacing w:line="360" w:lineRule="auto"/>
              <w:rPr>
                <w:rFonts w:ascii="仿宋" w:hAnsi="仿宋" w:eastAsia="仿宋"/>
                <w:sz w:val="24"/>
              </w:rPr>
            </w:pPr>
            <w:r>
              <w:rPr>
                <w:rFonts w:hint="eastAsia" w:ascii="仿宋" w:hAnsi="仿宋" w:eastAsia="仿宋"/>
                <w:sz w:val="24"/>
              </w:rPr>
              <w:t>白经土国用〔2007〕179号</w:t>
            </w:r>
          </w:p>
        </w:tc>
        <w:tc>
          <w:tcPr>
            <w:tcW w:w="1165" w:type="pct"/>
            <w:vAlign w:val="center"/>
          </w:tcPr>
          <w:p w14:paraId="7752F76E">
            <w:pPr>
              <w:spacing w:line="360" w:lineRule="auto"/>
              <w:jc w:val="center"/>
              <w:rPr>
                <w:rFonts w:ascii="仿宋" w:hAnsi="仿宋" w:eastAsia="仿宋"/>
                <w:sz w:val="24"/>
              </w:rPr>
            </w:pPr>
            <w:r>
              <w:rPr>
                <w:rFonts w:hint="eastAsia" w:ascii="仿宋" w:hAnsi="仿宋" w:eastAsia="仿宋"/>
                <w:sz w:val="24"/>
              </w:rPr>
              <w:t>2007</w:t>
            </w:r>
            <w:r>
              <w:rPr>
                <w:rFonts w:ascii="仿宋" w:hAnsi="仿宋" w:eastAsia="仿宋"/>
                <w:sz w:val="24"/>
              </w:rPr>
              <w:t>.</w:t>
            </w:r>
            <w:r>
              <w:rPr>
                <w:rFonts w:hint="eastAsia" w:ascii="仿宋" w:hAnsi="仿宋" w:eastAsia="仿宋"/>
                <w:sz w:val="24"/>
              </w:rPr>
              <w:t>11</w:t>
            </w:r>
            <w:r>
              <w:rPr>
                <w:rFonts w:ascii="仿宋" w:hAnsi="仿宋" w:eastAsia="仿宋"/>
                <w:sz w:val="24"/>
              </w:rPr>
              <w:t>.</w:t>
            </w:r>
            <w:r>
              <w:rPr>
                <w:rFonts w:hint="eastAsia" w:ascii="仿宋" w:hAnsi="仿宋" w:eastAsia="仿宋"/>
                <w:sz w:val="24"/>
              </w:rPr>
              <w:t>20</w:t>
            </w:r>
          </w:p>
        </w:tc>
        <w:tc>
          <w:tcPr>
            <w:tcW w:w="777" w:type="pct"/>
            <w:vAlign w:val="center"/>
          </w:tcPr>
          <w:p w14:paraId="44EB39A3">
            <w:pPr>
              <w:spacing w:line="360" w:lineRule="auto"/>
              <w:jc w:val="center"/>
              <w:rPr>
                <w:rFonts w:ascii="仿宋" w:hAnsi="仿宋" w:eastAsia="仿宋"/>
                <w:sz w:val="24"/>
              </w:rPr>
            </w:pPr>
            <w:r>
              <w:rPr>
                <w:rFonts w:hint="eastAsia" w:ascii="仿宋" w:hAnsi="仿宋" w:eastAsia="仿宋"/>
                <w:sz w:val="24"/>
              </w:rPr>
              <w:t>5476.73</w:t>
            </w:r>
          </w:p>
        </w:tc>
      </w:tr>
      <w:tr w14:paraId="1346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trPr>
        <w:tc>
          <w:tcPr>
            <w:tcW w:w="449" w:type="pct"/>
            <w:vAlign w:val="center"/>
          </w:tcPr>
          <w:p w14:paraId="4BA6853E">
            <w:pPr>
              <w:spacing w:line="360" w:lineRule="auto"/>
              <w:jc w:val="center"/>
              <w:rPr>
                <w:rFonts w:ascii="仿宋" w:hAnsi="仿宋" w:eastAsia="仿宋"/>
                <w:sz w:val="24"/>
              </w:rPr>
            </w:pPr>
            <w:r>
              <w:rPr>
                <w:rFonts w:hint="eastAsia" w:ascii="仿宋" w:hAnsi="仿宋" w:eastAsia="仿宋"/>
                <w:sz w:val="24"/>
              </w:rPr>
              <w:t>2</w:t>
            </w:r>
          </w:p>
        </w:tc>
        <w:tc>
          <w:tcPr>
            <w:tcW w:w="780" w:type="pct"/>
            <w:vAlign w:val="center"/>
          </w:tcPr>
          <w:p w14:paraId="4E52761C">
            <w:pPr>
              <w:spacing w:line="360" w:lineRule="auto"/>
              <w:jc w:val="center"/>
              <w:rPr>
                <w:rFonts w:ascii="仿宋" w:hAnsi="仿宋" w:eastAsia="仿宋"/>
                <w:sz w:val="24"/>
              </w:rPr>
            </w:pPr>
            <w:r>
              <w:rPr>
                <w:rFonts w:ascii="仿宋" w:hAnsi="仿宋" w:eastAsia="仿宋"/>
                <w:sz w:val="24"/>
              </w:rPr>
              <w:t>B-09-169</w:t>
            </w:r>
          </w:p>
        </w:tc>
        <w:tc>
          <w:tcPr>
            <w:tcW w:w="1829" w:type="pct"/>
            <w:vAlign w:val="center"/>
          </w:tcPr>
          <w:p w14:paraId="4C8A012A">
            <w:pPr>
              <w:spacing w:line="360" w:lineRule="auto"/>
              <w:rPr>
                <w:rFonts w:ascii="仿宋" w:hAnsi="仿宋" w:eastAsia="仿宋"/>
                <w:sz w:val="24"/>
              </w:rPr>
            </w:pPr>
            <w:r>
              <w:rPr>
                <w:rFonts w:hint="eastAsia" w:ascii="仿宋" w:hAnsi="仿宋" w:eastAsia="仿宋"/>
                <w:sz w:val="24"/>
              </w:rPr>
              <w:t>白经土国用〔2008〕210号</w:t>
            </w:r>
          </w:p>
        </w:tc>
        <w:tc>
          <w:tcPr>
            <w:tcW w:w="1165" w:type="pct"/>
            <w:vAlign w:val="center"/>
          </w:tcPr>
          <w:p w14:paraId="655B7ECC">
            <w:pPr>
              <w:spacing w:line="360" w:lineRule="auto"/>
              <w:jc w:val="center"/>
              <w:rPr>
                <w:rFonts w:ascii="仿宋" w:hAnsi="仿宋" w:eastAsia="仿宋"/>
                <w:sz w:val="24"/>
              </w:rPr>
            </w:pPr>
            <w:r>
              <w:rPr>
                <w:rFonts w:hint="eastAsia" w:ascii="仿宋" w:hAnsi="仿宋" w:eastAsia="仿宋"/>
                <w:sz w:val="24"/>
              </w:rPr>
              <w:t>2008</w:t>
            </w:r>
            <w:r>
              <w:rPr>
                <w:rFonts w:ascii="仿宋" w:hAnsi="仿宋" w:eastAsia="仿宋"/>
                <w:sz w:val="24"/>
              </w:rPr>
              <w:t>.</w:t>
            </w:r>
            <w:r>
              <w:rPr>
                <w:rFonts w:hint="eastAsia" w:ascii="仿宋" w:hAnsi="仿宋" w:eastAsia="仿宋"/>
                <w:sz w:val="24"/>
              </w:rPr>
              <w:t>1</w:t>
            </w:r>
            <w:r>
              <w:rPr>
                <w:rFonts w:ascii="仿宋" w:hAnsi="仿宋" w:eastAsia="仿宋"/>
                <w:sz w:val="24"/>
              </w:rPr>
              <w:t>.</w:t>
            </w:r>
            <w:r>
              <w:rPr>
                <w:rFonts w:hint="eastAsia" w:ascii="仿宋" w:hAnsi="仿宋" w:eastAsia="仿宋"/>
                <w:sz w:val="24"/>
              </w:rPr>
              <w:t>29</w:t>
            </w:r>
          </w:p>
        </w:tc>
        <w:tc>
          <w:tcPr>
            <w:tcW w:w="777" w:type="pct"/>
            <w:vAlign w:val="center"/>
          </w:tcPr>
          <w:p w14:paraId="021C5073">
            <w:pPr>
              <w:spacing w:line="360" w:lineRule="auto"/>
              <w:jc w:val="center"/>
              <w:rPr>
                <w:rFonts w:ascii="仿宋" w:hAnsi="仿宋" w:eastAsia="仿宋"/>
                <w:sz w:val="24"/>
              </w:rPr>
            </w:pPr>
            <w:r>
              <w:rPr>
                <w:rFonts w:hint="eastAsia" w:ascii="仿宋" w:hAnsi="仿宋" w:eastAsia="仿宋"/>
                <w:sz w:val="24"/>
              </w:rPr>
              <w:t>12339.12</w:t>
            </w:r>
          </w:p>
        </w:tc>
      </w:tr>
      <w:tr w14:paraId="66F8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449" w:type="pct"/>
            <w:vAlign w:val="center"/>
          </w:tcPr>
          <w:p w14:paraId="2417852C">
            <w:pPr>
              <w:spacing w:line="360" w:lineRule="auto"/>
              <w:jc w:val="center"/>
              <w:rPr>
                <w:rFonts w:ascii="仿宋" w:hAnsi="仿宋" w:eastAsia="仿宋"/>
                <w:sz w:val="24"/>
              </w:rPr>
            </w:pPr>
            <w:r>
              <w:rPr>
                <w:rFonts w:hint="eastAsia" w:ascii="仿宋" w:hAnsi="仿宋" w:eastAsia="仿宋"/>
                <w:sz w:val="24"/>
              </w:rPr>
              <w:t>3</w:t>
            </w:r>
          </w:p>
        </w:tc>
        <w:tc>
          <w:tcPr>
            <w:tcW w:w="780" w:type="pct"/>
            <w:vAlign w:val="center"/>
          </w:tcPr>
          <w:p w14:paraId="355CA6E0">
            <w:pPr>
              <w:spacing w:line="360" w:lineRule="auto"/>
              <w:jc w:val="center"/>
              <w:rPr>
                <w:rFonts w:ascii="仿宋" w:hAnsi="仿宋" w:eastAsia="仿宋"/>
                <w:sz w:val="24"/>
              </w:rPr>
            </w:pPr>
            <w:r>
              <w:rPr>
                <w:rFonts w:hint="eastAsia" w:ascii="仿宋" w:hAnsi="仿宋" w:eastAsia="仿宋"/>
                <w:sz w:val="24"/>
              </w:rPr>
              <w:t>B-09-176</w:t>
            </w:r>
          </w:p>
        </w:tc>
        <w:tc>
          <w:tcPr>
            <w:tcW w:w="1829" w:type="pct"/>
            <w:vAlign w:val="center"/>
          </w:tcPr>
          <w:p w14:paraId="3E7ABA90">
            <w:pPr>
              <w:spacing w:line="360" w:lineRule="auto"/>
              <w:rPr>
                <w:rFonts w:ascii="仿宋" w:hAnsi="仿宋" w:eastAsia="仿宋"/>
                <w:sz w:val="24"/>
              </w:rPr>
            </w:pPr>
            <w:r>
              <w:rPr>
                <w:rFonts w:hint="eastAsia" w:ascii="仿宋" w:hAnsi="仿宋" w:eastAsia="仿宋"/>
                <w:sz w:val="24"/>
              </w:rPr>
              <w:t>白经土国用〔2008〕211号</w:t>
            </w:r>
          </w:p>
        </w:tc>
        <w:tc>
          <w:tcPr>
            <w:tcW w:w="1165" w:type="pct"/>
            <w:vAlign w:val="center"/>
          </w:tcPr>
          <w:p w14:paraId="05540254">
            <w:pPr>
              <w:spacing w:line="360" w:lineRule="auto"/>
              <w:jc w:val="center"/>
              <w:rPr>
                <w:rFonts w:ascii="仿宋" w:hAnsi="仿宋" w:eastAsia="仿宋"/>
                <w:sz w:val="24"/>
              </w:rPr>
            </w:pPr>
            <w:r>
              <w:rPr>
                <w:rFonts w:hint="eastAsia" w:ascii="仿宋" w:hAnsi="仿宋" w:eastAsia="仿宋"/>
                <w:sz w:val="24"/>
              </w:rPr>
              <w:t>2008</w:t>
            </w:r>
            <w:r>
              <w:rPr>
                <w:rFonts w:ascii="仿宋" w:hAnsi="仿宋" w:eastAsia="仿宋"/>
                <w:sz w:val="24"/>
              </w:rPr>
              <w:t>.</w:t>
            </w:r>
            <w:r>
              <w:rPr>
                <w:rFonts w:hint="eastAsia" w:ascii="仿宋" w:hAnsi="仿宋" w:eastAsia="仿宋"/>
                <w:sz w:val="24"/>
              </w:rPr>
              <w:t>1</w:t>
            </w:r>
            <w:r>
              <w:rPr>
                <w:rFonts w:ascii="仿宋" w:hAnsi="仿宋" w:eastAsia="仿宋"/>
                <w:sz w:val="24"/>
              </w:rPr>
              <w:t>.</w:t>
            </w:r>
            <w:r>
              <w:rPr>
                <w:rFonts w:hint="eastAsia" w:ascii="仿宋" w:hAnsi="仿宋" w:eastAsia="仿宋"/>
                <w:sz w:val="24"/>
              </w:rPr>
              <w:t>29</w:t>
            </w:r>
          </w:p>
        </w:tc>
        <w:tc>
          <w:tcPr>
            <w:tcW w:w="777" w:type="pct"/>
            <w:vAlign w:val="center"/>
          </w:tcPr>
          <w:p w14:paraId="02EA0618">
            <w:pPr>
              <w:spacing w:line="360" w:lineRule="auto"/>
              <w:jc w:val="center"/>
              <w:rPr>
                <w:rFonts w:ascii="仿宋" w:hAnsi="仿宋" w:eastAsia="仿宋"/>
                <w:sz w:val="24"/>
              </w:rPr>
            </w:pPr>
            <w:r>
              <w:rPr>
                <w:rFonts w:hint="eastAsia" w:ascii="仿宋" w:hAnsi="仿宋" w:eastAsia="仿宋"/>
                <w:sz w:val="24"/>
              </w:rPr>
              <w:t>9751.37</w:t>
            </w:r>
          </w:p>
        </w:tc>
      </w:tr>
      <w:tr w14:paraId="34C6C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4223" w:type="pct"/>
            <w:gridSpan w:val="4"/>
            <w:vAlign w:val="center"/>
          </w:tcPr>
          <w:p w14:paraId="64B9CA3E">
            <w:pPr>
              <w:spacing w:line="360" w:lineRule="auto"/>
              <w:jc w:val="center"/>
              <w:rPr>
                <w:rFonts w:ascii="仿宋" w:hAnsi="仿宋" w:eastAsia="仿宋"/>
                <w:b/>
                <w:bCs/>
                <w:sz w:val="24"/>
              </w:rPr>
            </w:pPr>
            <w:r>
              <w:rPr>
                <w:rFonts w:hint="eastAsia" w:ascii="仿宋" w:hAnsi="仿宋" w:eastAsia="仿宋"/>
                <w:b/>
                <w:bCs/>
                <w:sz w:val="24"/>
              </w:rPr>
              <w:t>合计</w:t>
            </w:r>
          </w:p>
        </w:tc>
        <w:tc>
          <w:tcPr>
            <w:tcW w:w="777" w:type="pct"/>
            <w:vAlign w:val="center"/>
          </w:tcPr>
          <w:p w14:paraId="46909C3E">
            <w:pPr>
              <w:spacing w:line="360" w:lineRule="auto"/>
              <w:jc w:val="center"/>
              <w:rPr>
                <w:rFonts w:ascii="仿宋" w:hAnsi="仿宋" w:eastAsia="仿宋"/>
                <w:b/>
                <w:bCs/>
                <w:sz w:val="24"/>
              </w:rPr>
            </w:pPr>
            <w:r>
              <w:rPr>
                <w:rFonts w:hint="eastAsia" w:ascii="仿宋" w:hAnsi="仿宋" w:eastAsia="仿宋"/>
                <w:b/>
                <w:bCs/>
                <w:sz w:val="24"/>
              </w:rPr>
              <w:t>27567.22</w:t>
            </w:r>
            <w:r>
              <w:rPr>
                <w:rStyle w:val="19"/>
                <w:rFonts w:ascii="仿宋" w:hAnsi="仿宋" w:eastAsia="仿宋"/>
                <w:b/>
                <w:bCs/>
                <w:sz w:val="24"/>
              </w:rPr>
              <w:footnoteReference w:id="0"/>
            </w:r>
          </w:p>
        </w:tc>
      </w:tr>
    </w:tbl>
    <w:p w14:paraId="49347CF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以及龙博公司持有贵阳中达广居置业有限公司10%的股权，对应注册资本为550万元，认缴出资日期为2030年10月9日。</w:t>
      </w:r>
    </w:p>
    <w:p w14:paraId="7DAAFE9F">
      <w:pPr>
        <w:snapToGrid w:val="0"/>
        <w:spacing w:line="360" w:lineRule="auto"/>
        <w:ind w:firstLine="562" w:firstLineChars="200"/>
        <w:rPr>
          <w:rFonts w:ascii="黑体" w:hAnsi="黑体" w:eastAsia="黑体" w:cs="仿宋"/>
          <w:b/>
          <w:bCs/>
          <w:sz w:val="28"/>
          <w:szCs w:val="28"/>
          <w:lang w:val="zh-CN"/>
        </w:rPr>
      </w:pPr>
      <w:r>
        <w:rPr>
          <w:rFonts w:hint="eastAsia" w:ascii="黑体" w:hAnsi="黑体" w:eastAsia="黑体" w:cs="仿宋"/>
          <w:b/>
          <w:bCs/>
          <w:sz w:val="28"/>
          <w:szCs w:val="28"/>
          <w:lang w:val="zh-CN"/>
        </w:rPr>
        <w:t>三、工作内容及要求</w:t>
      </w:r>
    </w:p>
    <w:p w14:paraId="23F7135F">
      <w:pPr>
        <w:snapToGrid w:val="0"/>
        <w:spacing w:line="360" w:lineRule="auto"/>
        <w:ind w:firstLine="562" w:firstLineChars="200"/>
        <w:rPr>
          <w:rFonts w:ascii="楷体" w:hAnsi="楷体" w:eastAsia="楷体" w:cs="仿宋"/>
          <w:b/>
          <w:bCs/>
          <w:sz w:val="28"/>
          <w:szCs w:val="28"/>
          <w:lang w:val="zh-CN"/>
        </w:rPr>
      </w:pPr>
      <w:r>
        <w:rPr>
          <w:rFonts w:hint="eastAsia" w:ascii="楷体" w:hAnsi="楷体" w:eastAsia="楷体" w:cs="仿宋"/>
          <w:b/>
          <w:bCs/>
          <w:sz w:val="28"/>
          <w:szCs w:val="28"/>
          <w:lang w:val="zh-CN"/>
        </w:rPr>
        <w:t>（一）工作内容</w:t>
      </w:r>
    </w:p>
    <w:p w14:paraId="7F446741">
      <w:pPr>
        <w:snapToGrid w:val="0"/>
        <w:spacing w:line="360" w:lineRule="auto"/>
        <w:ind w:firstLine="560" w:firstLineChars="200"/>
        <w:rPr>
          <w:rFonts w:hint="eastAsia" w:ascii="仿宋" w:hAnsi="仿宋" w:eastAsia="仿宋" w:cs="仿宋"/>
          <w:sz w:val="28"/>
          <w:szCs w:val="28"/>
          <w:lang w:val="zh-CN"/>
        </w:rPr>
      </w:pPr>
      <w:r>
        <w:rPr>
          <w:rFonts w:hint="eastAsia" w:ascii="仿宋" w:hAnsi="仿宋" w:eastAsia="仿宋" w:cs="仿宋"/>
          <w:sz w:val="28"/>
          <w:szCs w:val="28"/>
          <w:lang w:val="zh-CN"/>
        </w:rPr>
        <w:t>1.对龙博公司截至2026年9月</w:t>
      </w:r>
      <w:r>
        <w:rPr>
          <w:rFonts w:hint="eastAsia" w:ascii="仿宋" w:hAnsi="仿宋" w:eastAsia="仿宋" w:cs="仿宋"/>
          <w:sz w:val="28"/>
          <w:szCs w:val="28"/>
          <w:lang w:val="en-US" w:eastAsia="zh-CN"/>
        </w:rPr>
        <w:t>22</w:t>
      </w:r>
      <w:r>
        <w:rPr>
          <w:rFonts w:hint="eastAsia" w:ascii="仿宋" w:hAnsi="仿宋" w:eastAsia="仿宋" w:cs="仿宋"/>
          <w:sz w:val="28"/>
          <w:szCs w:val="28"/>
          <w:lang w:val="zh-CN"/>
        </w:rPr>
        <w:t>日的全部资产（包括但不限于国有土地使用权、对外投资等）进行价值评估，出具资产评估报告（需含资产的市场价值与清算价值），并对资产</w:t>
      </w:r>
      <w:r>
        <w:rPr>
          <w:rFonts w:hint="eastAsia" w:ascii="仿宋" w:hAnsi="仿宋" w:eastAsia="仿宋" w:cs="仿宋"/>
          <w:sz w:val="28"/>
          <w:szCs w:val="28"/>
          <w:lang w:val="en-US" w:eastAsia="zh-CN"/>
        </w:rPr>
        <w:t>重整和</w:t>
      </w:r>
      <w:r>
        <w:rPr>
          <w:rFonts w:hint="eastAsia" w:ascii="仿宋" w:hAnsi="仿宋" w:eastAsia="仿宋" w:cs="仿宋"/>
          <w:sz w:val="28"/>
          <w:szCs w:val="28"/>
          <w:lang w:val="zh-CN"/>
        </w:rPr>
        <w:t>清算状态下的偿债能力事项发表意见；</w:t>
      </w:r>
    </w:p>
    <w:p w14:paraId="3EAD6E13">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2.根据人民法院或临时管理人要求，对评估报告进行解释、说明；</w:t>
      </w:r>
    </w:p>
    <w:p w14:paraId="1519A15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3.根据人民法院或临时管理人要求，参加与债务人、债权人、人民法院的沟通会议及债权人会议，就评估报告及相关事项进行沟通、释明；</w:t>
      </w:r>
      <w:bookmarkStart w:id="0" w:name="_GoBack"/>
      <w:bookmarkEnd w:id="0"/>
    </w:p>
    <w:p w14:paraId="69DD086F">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4.根据人民法院或临时管理人要求，针对专门事项出具专项意见或报告；</w:t>
      </w:r>
    </w:p>
    <w:p w14:paraId="5F99787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5.根据人民法院或临时管理人要求，提供与本项目有关的专业咨询服务；</w:t>
      </w:r>
    </w:p>
    <w:p w14:paraId="6E174C3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6.人民法院或临时管理人提出的与本项目有关的其他工作事项。</w:t>
      </w:r>
    </w:p>
    <w:p w14:paraId="208C3A47">
      <w:pPr>
        <w:snapToGrid w:val="0"/>
        <w:spacing w:line="360" w:lineRule="auto"/>
        <w:ind w:firstLine="562" w:firstLineChars="200"/>
        <w:rPr>
          <w:rFonts w:ascii="楷体" w:hAnsi="楷体" w:eastAsia="楷体" w:cs="仿宋"/>
          <w:b/>
          <w:bCs/>
          <w:sz w:val="28"/>
          <w:szCs w:val="28"/>
          <w:lang w:val="zh-CN"/>
        </w:rPr>
      </w:pPr>
      <w:r>
        <w:rPr>
          <w:rFonts w:hint="eastAsia" w:ascii="楷体" w:hAnsi="楷体" w:eastAsia="楷体" w:cs="仿宋"/>
          <w:b/>
          <w:bCs/>
          <w:sz w:val="28"/>
          <w:szCs w:val="28"/>
          <w:lang w:val="zh-CN"/>
        </w:rPr>
        <w:t>（二）工作要求</w:t>
      </w:r>
    </w:p>
    <w:p w14:paraId="3EA476AE">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1.评估机构一经选定，须立即组织工作人员开展工作，中选机构不得将项目转交他人办理，不得更换派出人员。</w:t>
      </w:r>
    </w:p>
    <w:p w14:paraId="4669D69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2.评估机构应依法独立、客观、公正执业，对评估报告的真实性、合法性、有效性负责；</w:t>
      </w:r>
    </w:p>
    <w:p w14:paraId="655A2F7A">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3.评估成果应经临时管理人审核确认，并满足人民法院对预重整程序及破产案件审理的相关要求。</w:t>
      </w:r>
    </w:p>
    <w:p w14:paraId="4FDC463E">
      <w:pPr>
        <w:snapToGrid w:val="0"/>
        <w:spacing w:line="360" w:lineRule="auto"/>
        <w:ind w:firstLine="562" w:firstLineChars="200"/>
        <w:rPr>
          <w:rFonts w:ascii="楷体" w:hAnsi="楷体" w:eastAsia="楷体" w:cs="仿宋"/>
          <w:b/>
          <w:bCs/>
          <w:sz w:val="28"/>
          <w:szCs w:val="28"/>
          <w:lang w:val="zh-CN"/>
        </w:rPr>
      </w:pPr>
      <w:r>
        <w:rPr>
          <w:rFonts w:hint="eastAsia" w:ascii="楷体" w:hAnsi="楷体" w:eastAsia="楷体" w:cs="仿宋"/>
          <w:b/>
          <w:bCs/>
          <w:sz w:val="28"/>
          <w:szCs w:val="28"/>
          <w:lang w:val="zh-CN"/>
        </w:rPr>
        <w:t>（三）评估工作时间</w:t>
      </w:r>
    </w:p>
    <w:p w14:paraId="507F9A14">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中选机构应在委托合同</w:t>
      </w:r>
      <w:r>
        <w:rPr>
          <w:rFonts w:hint="eastAsia" w:ascii="仿宋" w:hAnsi="仿宋" w:eastAsia="仿宋" w:cs="仿宋"/>
          <w:sz w:val="28"/>
          <w:szCs w:val="28"/>
        </w:rPr>
        <w:t>生效之日起</w:t>
      </w:r>
      <w:r>
        <w:rPr>
          <w:rFonts w:hint="eastAsia" w:ascii="仿宋" w:hAnsi="仿宋" w:eastAsia="仿宋" w:cs="仿宋"/>
          <w:sz w:val="28"/>
          <w:szCs w:val="28"/>
          <w:lang w:val="zh-CN"/>
        </w:rPr>
        <w:t>15日内完成评估工作并出具有效的书面评估报告;如人民法院裁定受理龙博公司破产案件的，自法院裁定受理破产案件之日起15日内完成报告更新。</w:t>
      </w:r>
    </w:p>
    <w:p w14:paraId="4A46DE23">
      <w:pPr>
        <w:snapToGrid w:val="0"/>
        <w:spacing w:line="360" w:lineRule="auto"/>
        <w:ind w:left="571"/>
        <w:rPr>
          <w:rFonts w:ascii="黑体" w:hAnsi="黑体" w:eastAsia="黑体" w:cs="仿宋"/>
          <w:b/>
          <w:bCs/>
          <w:sz w:val="28"/>
          <w:szCs w:val="28"/>
        </w:rPr>
      </w:pPr>
      <w:r>
        <w:rPr>
          <w:rFonts w:hint="eastAsia" w:ascii="黑体" w:hAnsi="黑体" w:eastAsia="黑体" w:cs="仿宋"/>
          <w:b/>
          <w:bCs/>
          <w:sz w:val="28"/>
          <w:szCs w:val="28"/>
          <w:lang w:val="zh-CN"/>
        </w:rPr>
        <w:t>四、竞聘</w:t>
      </w:r>
      <w:r>
        <w:rPr>
          <w:rFonts w:hint="eastAsia" w:ascii="黑体" w:hAnsi="黑体" w:eastAsia="黑体" w:cs="仿宋"/>
          <w:b/>
          <w:bCs/>
          <w:sz w:val="28"/>
          <w:szCs w:val="28"/>
        </w:rPr>
        <w:t>机构资格要求</w:t>
      </w:r>
    </w:p>
    <w:p w14:paraId="699E224E">
      <w:pPr>
        <w:snapToGrid w:val="0"/>
        <w:spacing w:line="360" w:lineRule="auto"/>
        <w:ind w:firstLine="562" w:firstLineChars="200"/>
        <w:rPr>
          <w:rFonts w:ascii="楷体" w:hAnsi="楷体" w:eastAsia="楷体" w:cs="仿宋"/>
          <w:b/>
          <w:bCs/>
          <w:sz w:val="28"/>
          <w:szCs w:val="28"/>
        </w:rPr>
      </w:pPr>
      <w:r>
        <w:rPr>
          <w:rFonts w:hint="eastAsia" w:ascii="楷体" w:hAnsi="楷体" w:eastAsia="楷体" w:cs="仿宋"/>
          <w:b/>
          <w:bCs/>
          <w:sz w:val="28"/>
          <w:szCs w:val="28"/>
          <w:lang w:val="zh-CN"/>
        </w:rPr>
        <w:t>（一）</w:t>
      </w:r>
      <w:r>
        <w:rPr>
          <w:rFonts w:hint="eastAsia" w:ascii="楷体" w:hAnsi="楷体" w:eastAsia="楷体" w:cs="仿宋"/>
          <w:b/>
          <w:bCs/>
          <w:sz w:val="28"/>
          <w:szCs w:val="28"/>
        </w:rPr>
        <w:t>基本要求</w:t>
      </w:r>
    </w:p>
    <w:p w14:paraId="351B6EDF">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1.依法设立，能够独立承担民事责任，具有住房和城乡建设主管部门核发的房地产估价机构资质，已按规定在自然资源主管部门完成土地估价机构备案，并已依法在财政部门完成资产评估机构备案；</w:t>
      </w:r>
    </w:p>
    <w:p w14:paraId="4C4DAC77">
      <w:pPr>
        <w:snapToGrid w:val="0"/>
        <w:spacing w:line="360" w:lineRule="auto"/>
        <w:ind w:firstLine="560" w:firstLineChars="200"/>
        <w:rPr>
          <w:rFonts w:ascii="楷体" w:hAnsi="楷体" w:eastAsia="楷体" w:cs="仿宋"/>
          <w:b/>
          <w:bCs/>
          <w:sz w:val="28"/>
          <w:szCs w:val="28"/>
        </w:rPr>
      </w:pPr>
      <w:r>
        <w:rPr>
          <w:rFonts w:hint="eastAsia" w:ascii="仿宋" w:hAnsi="仿宋" w:eastAsia="仿宋" w:cs="仿宋"/>
          <w:sz w:val="28"/>
          <w:szCs w:val="28"/>
          <w:lang w:val="zh-CN"/>
        </w:rPr>
        <w:t>2.配备具备房地产估价师、土地估价师、资产评估师执业资格等相应执业资格的专业人员，人员数量和专业能力能够保障工作质量并满足本项目要求。</w:t>
      </w:r>
    </w:p>
    <w:p w14:paraId="5ADE333C">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3.近三年内未受到刑事处罚，未受到行政机关、主管部门或行业自律组织的行政处罚或纪律处分，未被列入国家企业信用信息公示系统严重违法失信名单，相关执业资质、备案处于有效状态。</w:t>
      </w:r>
    </w:p>
    <w:p w14:paraId="1960751E">
      <w:pPr>
        <w:snapToGrid w:val="0"/>
        <w:spacing w:line="360" w:lineRule="auto"/>
        <w:ind w:firstLine="562" w:firstLineChars="200"/>
        <w:rPr>
          <w:rFonts w:ascii="楷体" w:hAnsi="楷体" w:eastAsia="楷体" w:cs="仿宋"/>
          <w:b/>
          <w:bCs/>
          <w:sz w:val="28"/>
          <w:szCs w:val="28"/>
          <w:lang w:val="zh-CN"/>
        </w:rPr>
      </w:pPr>
      <w:r>
        <w:rPr>
          <w:rFonts w:hint="eastAsia" w:ascii="楷体" w:hAnsi="楷体" w:eastAsia="楷体" w:cs="仿宋"/>
          <w:b/>
          <w:bCs/>
          <w:sz w:val="28"/>
          <w:szCs w:val="28"/>
          <w:lang w:val="zh-CN"/>
        </w:rPr>
        <w:t>（二）竞聘人需承诺事项</w:t>
      </w:r>
    </w:p>
    <w:p w14:paraId="2479BE17">
      <w:pPr>
        <w:snapToGrid w:val="0"/>
        <w:spacing w:line="360" w:lineRule="auto"/>
        <w:ind w:firstLine="700" w:firstLineChars="250"/>
        <w:rPr>
          <w:rFonts w:ascii="仿宋" w:hAnsi="仿宋" w:eastAsia="仿宋" w:cs="仿宋"/>
          <w:sz w:val="28"/>
          <w:szCs w:val="28"/>
          <w:lang w:val="zh-CN"/>
        </w:rPr>
      </w:pPr>
      <w:r>
        <w:rPr>
          <w:rFonts w:hint="eastAsia" w:ascii="仿宋" w:hAnsi="仿宋" w:eastAsia="仿宋" w:cs="仿宋"/>
          <w:sz w:val="28"/>
          <w:szCs w:val="28"/>
          <w:lang w:val="zh-CN"/>
        </w:rPr>
        <w:t>1.与龙博公司或其债权人、临时管理人不存在利害关系，或者其他可能影响作出公正判断的关系。</w:t>
      </w:r>
    </w:p>
    <w:p w14:paraId="6D7E490D">
      <w:pPr>
        <w:snapToGrid w:val="0"/>
        <w:spacing w:line="360" w:lineRule="auto"/>
        <w:ind w:firstLine="700" w:firstLineChars="250"/>
        <w:rPr>
          <w:rFonts w:ascii="仿宋" w:hAnsi="仿宋" w:eastAsia="仿宋" w:cs="仿宋"/>
          <w:sz w:val="28"/>
          <w:szCs w:val="28"/>
          <w:lang w:val="zh-CN"/>
        </w:rPr>
      </w:pPr>
      <w:r>
        <w:rPr>
          <w:rFonts w:hint="eastAsia" w:ascii="仿宋" w:hAnsi="仿宋" w:eastAsia="仿宋" w:cs="仿宋"/>
          <w:sz w:val="28"/>
          <w:szCs w:val="28"/>
        </w:rPr>
        <w:t>2</w:t>
      </w:r>
      <w:r>
        <w:rPr>
          <w:rFonts w:hint="eastAsia" w:ascii="仿宋" w:hAnsi="仿宋" w:eastAsia="仿宋" w:cs="仿宋"/>
          <w:sz w:val="28"/>
          <w:szCs w:val="28"/>
          <w:lang w:val="zh-CN"/>
        </w:rPr>
        <w:t>.评估机构派出人员从数量和能力上能够保证工作需要，满足本项目的工作质量及时间要求。提供项目负责人、工作人员名单以及联系方式，并出具书面保证函，保证上述人员在本案件中的工作时间，未经管理人书面同意不得更换派出工作人员。</w:t>
      </w:r>
    </w:p>
    <w:p w14:paraId="20C5699E">
      <w:pPr>
        <w:snapToGrid w:val="0"/>
        <w:spacing w:line="360" w:lineRule="auto"/>
        <w:ind w:firstLine="700" w:firstLineChars="250"/>
        <w:rPr>
          <w:rFonts w:ascii="仿宋" w:hAnsi="仿宋" w:eastAsia="仿宋" w:cs="仿宋"/>
          <w:sz w:val="28"/>
          <w:szCs w:val="28"/>
        </w:rPr>
      </w:pPr>
      <w:r>
        <w:rPr>
          <w:rFonts w:hint="eastAsia" w:ascii="仿宋" w:hAnsi="仿宋" w:eastAsia="仿宋" w:cs="仿宋"/>
          <w:sz w:val="28"/>
          <w:szCs w:val="28"/>
        </w:rPr>
        <w:t>3.所提交的竞聘文件真实、合法、有效。</w:t>
      </w:r>
    </w:p>
    <w:p w14:paraId="50718978">
      <w:pPr>
        <w:snapToGrid w:val="0"/>
        <w:spacing w:line="360" w:lineRule="auto"/>
        <w:ind w:firstLine="562" w:firstLineChars="200"/>
        <w:rPr>
          <w:rFonts w:ascii="仿宋" w:hAnsi="仿宋" w:eastAsia="仿宋" w:cs="仿宋"/>
          <w:sz w:val="28"/>
          <w:szCs w:val="28"/>
          <w:lang w:val="zh-CN"/>
        </w:rPr>
      </w:pPr>
      <w:r>
        <w:rPr>
          <w:rFonts w:hint="eastAsia" w:ascii="黑体" w:hAnsi="黑体" w:eastAsia="黑体" w:cs="仿宋"/>
          <w:b/>
          <w:bCs/>
          <w:sz w:val="28"/>
          <w:szCs w:val="28"/>
          <w:lang w:val="zh-CN"/>
        </w:rPr>
        <w:t>五、报价及费用支付</w:t>
      </w:r>
    </w:p>
    <w:p w14:paraId="2EB3ADD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(一)本次选聘工作不设最低、最高限价，由竞聘机构结合工作量、工作要求、市场标准等综合进行报价。</w:t>
      </w:r>
    </w:p>
    <w:p w14:paraId="3E20E480">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本次报价为包干价，涵盖预重整阶段评估报告出具、破产案件受理后评估报告更新，以及评估机构因开展评估工作发生的差旅、住宿、餐饮等全部费用，不再另行报价或结算；人民法院或临时管理人对评估工作内容、事项进行调整，或评估报告过期后临时管理人要求出具新的或补充报告的，亦不再另行增加服务费用。</w:t>
      </w:r>
    </w:p>
    <w:p w14:paraId="0EEAE2B6">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(三）本项目在程序中因对评估工作内容及工作事项进行调整或评估报告过期后临时管理人要求出具新的或补充报告的，不再额外增加服务费用。</w:t>
      </w:r>
    </w:p>
    <w:p w14:paraId="64081C4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四</w:t>
      </w:r>
      <w:r>
        <w:rPr>
          <w:rFonts w:hint="eastAsia" w:ascii="仿宋" w:hAnsi="仿宋" w:eastAsia="仿宋" w:cs="仿宋"/>
          <w:sz w:val="28"/>
          <w:szCs w:val="28"/>
          <w:lang w:val="zh-CN"/>
        </w:rPr>
        <w:t>)鉴于预重整程序及破产重整案件的特殊性，临时管理人不预先支付任何费用，在龙博公司破产案件受理后具备付款条件(包括重整计划通过后等)时，自债务人资产支付。如龙博公司财产处置后，不足以清偿所有破产费用的，按照比例清偿；如龙博公司最终无财产清偿的，则不支付评估费用。</w:t>
      </w:r>
      <w:r>
        <w:rPr>
          <w:rFonts w:hint="eastAsia" w:ascii="仿宋" w:hAnsi="仿宋" w:eastAsia="仿宋" w:cs="仿宋"/>
          <w:b/>
          <w:bCs/>
          <w:sz w:val="28"/>
          <w:szCs w:val="28"/>
          <w:lang w:val="zh-CN"/>
        </w:rPr>
        <w:t>但如龙博公司未进入破产重整程序，则不支付评估费用。</w:t>
      </w:r>
    </w:p>
    <w:p w14:paraId="2631F0E4">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(五）如评估未能按照规定时间完成工作的，或所出具的报告存在漏项、错误的，临时管理人有权相应调减服务费用。</w:t>
      </w:r>
    </w:p>
    <w:p w14:paraId="64F32288">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(六）参与本次竞聘评估机构的相关费用由各机构自行承担。</w:t>
      </w:r>
    </w:p>
    <w:p w14:paraId="5E80B517">
      <w:pPr>
        <w:snapToGrid w:val="0"/>
        <w:spacing w:line="360" w:lineRule="auto"/>
        <w:ind w:firstLine="562" w:firstLineChars="200"/>
        <w:rPr>
          <w:rFonts w:ascii="黑体" w:hAnsi="黑体" w:eastAsia="黑体" w:cs="仿宋"/>
          <w:b/>
          <w:bCs/>
          <w:sz w:val="28"/>
          <w:szCs w:val="28"/>
          <w:lang w:val="zh-CN"/>
        </w:rPr>
      </w:pPr>
      <w:r>
        <w:rPr>
          <w:rFonts w:hint="eastAsia" w:ascii="黑体" w:hAnsi="黑体" w:eastAsia="黑体" w:cs="仿宋"/>
          <w:b/>
          <w:bCs/>
          <w:sz w:val="28"/>
          <w:szCs w:val="28"/>
          <w:lang w:val="zh-CN"/>
        </w:rPr>
        <w:t>六、需提交的竞聘材料</w:t>
      </w:r>
    </w:p>
    <w:p w14:paraId="0AB00C99">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rPr>
        <w:t>（一）竞聘</w:t>
      </w:r>
      <w:r>
        <w:rPr>
          <w:rFonts w:hint="eastAsia" w:ascii="仿宋" w:hAnsi="仿宋" w:eastAsia="仿宋" w:cs="仿宋"/>
          <w:sz w:val="28"/>
          <w:szCs w:val="28"/>
          <w:lang w:val="zh-CN"/>
        </w:rPr>
        <w:t>机构应当提交下列装订成册的材料，并编写页码，封面应加盖竞聘机构公章，密封提交。</w:t>
      </w:r>
    </w:p>
    <w:p w14:paraId="1EE009DF">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w:t>
      </w:r>
      <w:r>
        <w:rPr>
          <w:rFonts w:hint="eastAsia" w:ascii="仿宋" w:hAnsi="仿宋" w:eastAsia="仿宋" w:cs="仿宋"/>
          <w:sz w:val="28"/>
          <w:szCs w:val="28"/>
        </w:rPr>
        <w:t>竞聘</w:t>
      </w:r>
      <w:r>
        <w:rPr>
          <w:rFonts w:hint="eastAsia" w:ascii="仿宋" w:hAnsi="仿宋" w:eastAsia="仿宋" w:cs="仿宋"/>
          <w:sz w:val="28"/>
          <w:szCs w:val="28"/>
          <w:lang w:val="zh-CN"/>
        </w:rPr>
        <w:t>机构简介，包括营业执照，</w:t>
      </w:r>
      <w:r>
        <w:rPr>
          <w:rFonts w:hint="eastAsia" w:ascii="仿宋" w:hAnsi="仿宋" w:eastAsia="仿宋" w:cs="仿宋"/>
          <w:sz w:val="28"/>
          <w:szCs w:val="28"/>
        </w:rPr>
        <w:t>执业资质及备案证明</w:t>
      </w:r>
      <w:r>
        <w:rPr>
          <w:rFonts w:hint="eastAsia" w:ascii="仿宋" w:hAnsi="仿宋" w:eastAsia="仿宋" w:cs="仿宋"/>
          <w:sz w:val="28"/>
          <w:szCs w:val="28"/>
          <w:lang w:val="zh-CN"/>
        </w:rPr>
        <w:t>，</w:t>
      </w:r>
      <w:r>
        <w:rPr>
          <w:rFonts w:hint="eastAsia" w:ascii="仿宋" w:hAnsi="仿宋" w:eastAsia="仿宋" w:cs="仿宋"/>
          <w:sz w:val="28"/>
          <w:szCs w:val="28"/>
        </w:rPr>
        <w:t>专业</w:t>
      </w:r>
      <w:r>
        <w:rPr>
          <w:rFonts w:hint="eastAsia" w:ascii="仿宋" w:hAnsi="仿宋" w:eastAsia="仿宋" w:cs="仿宋"/>
          <w:sz w:val="28"/>
          <w:szCs w:val="28"/>
          <w:lang w:val="zh-CN"/>
        </w:rPr>
        <w:t>人员配置，相关评估工作业绩等；</w:t>
      </w:r>
    </w:p>
    <w:p w14:paraId="13E78402">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2.评估方案、工作计划、预计评估期限；</w:t>
      </w:r>
    </w:p>
    <w:p w14:paraId="33C00BF5">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3.报价方案；</w:t>
      </w:r>
    </w:p>
    <w:p w14:paraId="69977790">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4.竞聘响应函(见附件1);</w:t>
      </w:r>
    </w:p>
    <w:p w14:paraId="72D2CD0A">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5.书面承诺，承诺内容见本公告第四条第（二）项；</w:t>
      </w:r>
    </w:p>
    <w:p w14:paraId="1C10F0E5">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rPr>
        <w:t>6.</w:t>
      </w:r>
      <w:r>
        <w:rPr>
          <w:rFonts w:hint="eastAsia" w:ascii="仿宋" w:hAnsi="仿宋" w:eastAsia="仿宋" w:cs="仿宋"/>
          <w:sz w:val="28"/>
          <w:szCs w:val="28"/>
          <w:lang w:val="zh-CN"/>
        </w:rPr>
        <w:t>项目负责人及工作人员名单、联系方式及书面保证函</w:t>
      </w:r>
    </w:p>
    <w:p w14:paraId="50F64932">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rPr>
        <w:t>7</w:t>
      </w:r>
      <w:r>
        <w:rPr>
          <w:rFonts w:hint="eastAsia" w:ascii="仿宋" w:hAnsi="仿宋" w:eastAsia="仿宋" w:cs="仿宋"/>
          <w:sz w:val="28"/>
          <w:szCs w:val="28"/>
          <w:lang w:val="zh-CN"/>
        </w:rPr>
        <w:t>.参与本次选聘人员的授权委托书及其他证明文件。</w:t>
      </w:r>
    </w:p>
    <w:p w14:paraId="1362F25C">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二）</w:t>
      </w:r>
      <w:r>
        <w:rPr>
          <w:rFonts w:hint="eastAsia" w:ascii="仿宋" w:hAnsi="仿宋" w:eastAsia="仿宋" w:cs="仿宋"/>
          <w:sz w:val="28"/>
          <w:szCs w:val="28"/>
          <w:lang w:val="zh-CN"/>
        </w:rPr>
        <w:t>竞聘机构未按本公告要求提交报名材料的，管理人有权不予接收。</w:t>
      </w:r>
    </w:p>
    <w:p w14:paraId="55F87C2D">
      <w:pPr>
        <w:snapToGrid w:val="0"/>
        <w:spacing w:line="360" w:lineRule="auto"/>
        <w:ind w:left="559" w:leftChars="266"/>
        <w:rPr>
          <w:rFonts w:ascii="黑体" w:hAnsi="黑体" w:eastAsia="黑体" w:cs="仿宋"/>
          <w:b/>
          <w:bCs/>
          <w:sz w:val="28"/>
          <w:szCs w:val="28"/>
          <w:lang w:val="zh-CN"/>
        </w:rPr>
      </w:pPr>
      <w:r>
        <w:rPr>
          <w:rFonts w:hint="eastAsia" w:ascii="黑体" w:hAnsi="黑体" w:eastAsia="黑体" w:cs="仿宋"/>
          <w:b/>
          <w:bCs/>
          <w:sz w:val="28"/>
          <w:szCs w:val="28"/>
          <w:lang w:val="zh-CN"/>
        </w:rPr>
        <w:t>七、报名时间及方式</w:t>
      </w:r>
    </w:p>
    <w:p w14:paraId="38C0B280">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一）</w:t>
      </w:r>
      <w:r>
        <w:rPr>
          <w:rFonts w:hint="eastAsia" w:ascii="仿宋" w:hAnsi="仿宋" w:eastAsia="仿宋" w:cs="仿宋"/>
          <w:sz w:val="28"/>
          <w:szCs w:val="28"/>
          <w:lang w:val="zh-CN"/>
        </w:rPr>
        <w:t>竞聘材料的封面及全部文件均应加盖竞聘公章、骑缝章，全部文件应提供正本1份，副本4份，合计5份。封面注明“龙博公司评估机构选聘竞聘材料”字样，并载明竞聘机构名称、联系人及联系电话。</w:t>
      </w:r>
    </w:p>
    <w:p w14:paraId="538C9E6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w:t>
      </w:r>
      <w:r>
        <w:rPr>
          <w:rFonts w:hint="eastAsia" w:ascii="仿宋" w:hAnsi="仿宋" w:eastAsia="仿宋" w:cs="仿宋"/>
          <w:sz w:val="28"/>
          <w:szCs w:val="28"/>
        </w:rPr>
        <w:t>二）</w:t>
      </w:r>
      <w:r>
        <w:rPr>
          <w:rFonts w:hint="eastAsia" w:ascii="仿宋" w:hAnsi="仿宋" w:eastAsia="仿宋" w:cs="仿宋"/>
          <w:sz w:val="28"/>
          <w:szCs w:val="28"/>
          <w:lang w:val="zh-CN"/>
        </w:rPr>
        <w:t>竞聘机构应于</w:t>
      </w:r>
      <w:r>
        <w:rPr>
          <w:rFonts w:hint="eastAsia" w:ascii="仿宋" w:hAnsi="仿宋" w:eastAsia="仿宋" w:cs="仿宋"/>
          <w:b/>
          <w:bCs/>
          <w:sz w:val="28"/>
          <w:szCs w:val="28"/>
          <w:lang w:val="zh-CN"/>
        </w:rPr>
        <w:t>2026年</w:t>
      </w:r>
      <w:r>
        <w:rPr>
          <w:rFonts w:hint="eastAsia" w:ascii="仿宋" w:hAnsi="仿宋" w:eastAsia="仿宋" w:cs="仿宋"/>
          <w:b/>
          <w:bCs/>
          <w:sz w:val="28"/>
          <w:szCs w:val="28"/>
          <w:lang w:val="en-US" w:eastAsia="zh-CN"/>
        </w:rPr>
        <w:t>10</w:t>
      </w:r>
      <w:r>
        <w:rPr>
          <w:rFonts w:hint="eastAsia" w:ascii="仿宋" w:hAnsi="仿宋" w:eastAsia="仿宋" w:cs="仿宋"/>
          <w:b/>
          <w:bCs/>
          <w:sz w:val="28"/>
          <w:szCs w:val="28"/>
          <w:lang w:val="zh-CN"/>
        </w:rPr>
        <w:t>月</w:t>
      </w:r>
      <w:r>
        <w:rPr>
          <w:rFonts w:hint="eastAsia" w:ascii="仿宋" w:hAnsi="仿宋" w:eastAsia="仿宋" w:cs="仿宋"/>
          <w:b/>
          <w:bCs/>
          <w:sz w:val="28"/>
          <w:szCs w:val="28"/>
          <w:lang w:val="en-US" w:eastAsia="zh-CN"/>
        </w:rPr>
        <w:t>9</w:t>
      </w:r>
      <w:r>
        <w:rPr>
          <w:rFonts w:hint="eastAsia" w:ascii="仿宋" w:hAnsi="仿宋" w:eastAsia="仿宋" w:cs="仿宋"/>
          <w:b/>
          <w:bCs/>
          <w:sz w:val="28"/>
          <w:szCs w:val="28"/>
          <w:lang w:val="zh-CN"/>
        </w:rPr>
        <w:t>日17:00前</w:t>
      </w:r>
      <w:r>
        <w:rPr>
          <w:rFonts w:hint="eastAsia" w:ascii="仿宋" w:hAnsi="仿宋" w:eastAsia="仿宋" w:cs="仿宋"/>
          <w:sz w:val="28"/>
          <w:szCs w:val="28"/>
          <w:lang w:val="zh-CN"/>
        </w:rPr>
        <w:t>，通过现场递交或邮寄方式（不接受到付）将竞聘材料提交至临时管理人，提交前请先电话联系确认；通过邮寄方式提交的，以临时管理人实际收到材料时间为准。逾期提交的，不能参与后续磋商。</w:t>
      </w:r>
    </w:p>
    <w:p w14:paraId="54A5E7AD">
      <w:pPr>
        <w:snapToGrid w:val="0"/>
        <w:spacing w:line="360" w:lineRule="auto"/>
        <w:ind w:firstLine="562" w:firstLineChars="200"/>
        <w:rPr>
          <w:rFonts w:ascii="黑体" w:hAnsi="黑体" w:eastAsia="黑体" w:cs="仿宋"/>
          <w:b/>
          <w:bCs/>
          <w:sz w:val="28"/>
          <w:szCs w:val="28"/>
          <w:lang w:val="zh-CN"/>
        </w:rPr>
      </w:pPr>
      <w:r>
        <w:rPr>
          <w:rFonts w:hint="eastAsia" w:ascii="黑体" w:hAnsi="黑体" w:eastAsia="黑体" w:cs="仿宋"/>
          <w:b/>
          <w:bCs/>
          <w:sz w:val="28"/>
          <w:szCs w:val="28"/>
          <w:lang w:val="zh-CN"/>
        </w:rPr>
        <w:t>八、评审方式</w:t>
      </w:r>
    </w:p>
    <w:p w14:paraId="7BB5C743">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（一）临时管理人将组成评选小组，结合竞聘机构的资质、业绩、服务团队、报价方案等进行书面评审。</w:t>
      </w:r>
      <w:r>
        <w:rPr>
          <w:rFonts w:hint="eastAsia" w:ascii="仿宋" w:hAnsi="仿宋" w:eastAsia="仿宋" w:cs="仿宋"/>
          <w:sz w:val="28"/>
          <w:szCs w:val="28"/>
          <w:lang w:val="en-US" w:eastAsia="zh-CN"/>
        </w:rPr>
        <w:t>书面审核通过后，临时管理人将</w:t>
      </w:r>
      <w:r>
        <w:rPr>
          <w:rFonts w:hint="eastAsia" w:ascii="仿宋" w:hAnsi="仿宋" w:eastAsia="仿宋" w:cs="仿宋"/>
          <w:sz w:val="28"/>
          <w:szCs w:val="28"/>
          <w:lang w:val="zh-CN"/>
        </w:rPr>
        <w:t>组织当面磋商并进行二轮报价，磋商</w:t>
      </w:r>
      <w:r>
        <w:rPr>
          <w:rFonts w:hint="eastAsia" w:ascii="仿宋" w:hAnsi="仿宋" w:eastAsia="仿宋" w:cs="仿宋"/>
          <w:sz w:val="28"/>
          <w:szCs w:val="28"/>
          <w:lang w:val="en-US" w:eastAsia="zh-CN"/>
        </w:rPr>
        <w:t>时间及</w:t>
      </w:r>
      <w:r>
        <w:rPr>
          <w:rFonts w:hint="eastAsia" w:ascii="仿宋" w:hAnsi="仿宋" w:eastAsia="仿宋" w:cs="仿宋"/>
          <w:sz w:val="28"/>
          <w:szCs w:val="28"/>
          <w:lang w:val="zh-CN"/>
        </w:rPr>
        <w:t>地点</w:t>
      </w:r>
      <w:r>
        <w:rPr>
          <w:rFonts w:hint="eastAsia" w:ascii="仿宋" w:hAnsi="仿宋" w:eastAsia="仿宋" w:cs="仿宋"/>
          <w:sz w:val="28"/>
          <w:szCs w:val="28"/>
          <w:lang w:val="en-US" w:eastAsia="zh-CN"/>
        </w:rPr>
        <w:t>另行通知</w:t>
      </w:r>
      <w:r>
        <w:rPr>
          <w:rFonts w:hint="eastAsia" w:ascii="仿宋" w:hAnsi="仿宋" w:eastAsia="仿宋" w:cs="仿宋"/>
          <w:sz w:val="28"/>
          <w:szCs w:val="28"/>
          <w:lang w:val="zh-CN"/>
        </w:rPr>
        <w:t>。</w:t>
      </w:r>
    </w:p>
    <w:p w14:paraId="07AA595E">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临时管理人结合书面评审及现场陈述情况，逐一对竞聘机构评分，去掉一个最高分、一个最低分后，有效评分的平均分为该竞聘机构得分。得分第一名确定为中选机构，第二名确定为备选机构，其余机构不再另行通知，申报材料不予退还；如仅有一家机构报名，临时管理人经评审确认其满足要求的，可直接确定该机构为中选机构。</w:t>
      </w:r>
    </w:p>
    <w:p w14:paraId="2D332093">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（三）中选机构应自收到书面中选通知之日起</w:t>
      </w:r>
      <w:r>
        <w:rPr>
          <w:rFonts w:hint="eastAsia" w:ascii="仿宋" w:hAnsi="仿宋" w:eastAsia="仿宋" w:cs="仿宋"/>
          <w:b/>
          <w:bCs/>
          <w:sz w:val="28"/>
          <w:szCs w:val="28"/>
          <w:lang w:val="en-US" w:eastAsia="zh-CN"/>
        </w:rPr>
        <w:t>3</w:t>
      </w:r>
      <w:r>
        <w:rPr>
          <w:rFonts w:hint="eastAsia" w:ascii="仿宋" w:hAnsi="仿宋" w:eastAsia="仿宋" w:cs="仿宋"/>
          <w:b/>
          <w:bCs/>
          <w:sz w:val="28"/>
          <w:szCs w:val="28"/>
          <w:lang w:val="zh-CN"/>
        </w:rPr>
        <w:t>日内</w:t>
      </w:r>
      <w:r>
        <w:rPr>
          <w:rFonts w:hint="eastAsia" w:ascii="仿宋" w:hAnsi="仿宋" w:eastAsia="仿宋" w:cs="仿宋"/>
          <w:sz w:val="28"/>
          <w:szCs w:val="28"/>
          <w:lang w:val="zh-CN"/>
        </w:rPr>
        <w:t>与临时管理人签订委托合同，不得拒绝签订；工作期间因中选机构原因导致人民法院或临时管理人决定更换服务机构的，备选机构不得拒绝签订委托合同。中选、备选机构由临时管理人书面或电话通知。</w:t>
      </w:r>
    </w:p>
    <w:p w14:paraId="1D756E70">
      <w:pPr>
        <w:snapToGrid w:val="0"/>
        <w:spacing w:line="360" w:lineRule="auto"/>
        <w:ind w:firstLine="562" w:firstLineChars="200"/>
        <w:rPr>
          <w:rFonts w:ascii="黑体" w:hAnsi="黑体" w:eastAsia="黑体" w:cs="仿宋"/>
          <w:b/>
          <w:bCs/>
          <w:sz w:val="28"/>
          <w:szCs w:val="28"/>
          <w:lang w:val="zh-CN"/>
        </w:rPr>
      </w:pPr>
      <w:r>
        <w:rPr>
          <w:rFonts w:hint="eastAsia" w:ascii="黑体" w:hAnsi="黑体" w:eastAsia="黑体" w:cs="仿宋"/>
          <w:b/>
          <w:bCs/>
          <w:sz w:val="28"/>
          <w:szCs w:val="28"/>
          <w:lang w:val="zh-CN"/>
        </w:rPr>
        <w:t>九、其他事项</w:t>
      </w:r>
    </w:p>
    <w:p w14:paraId="3D1A79A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（一）本公告及其附件作为委托合同的有效组成部分；</w:t>
      </w:r>
    </w:p>
    <w:p w14:paraId="3BB9F9FF">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（二）本公告的最终解释权归龙博公司临时管理人。</w:t>
      </w:r>
    </w:p>
    <w:p w14:paraId="68B88EEA">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特此公告</w:t>
      </w:r>
    </w:p>
    <w:p w14:paraId="0B4F9AB3">
      <w:pPr>
        <w:snapToGrid w:val="0"/>
        <w:spacing w:line="360" w:lineRule="auto"/>
        <w:ind w:firstLine="560" w:firstLineChars="200"/>
        <w:rPr>
          <w:rFonts w:ascii="仿宋" w:hAnsi="仿宋" w:eastAsia="仿宋" w:cs="仿宋"/>
          <w:sz w:val="28"/>
          <w:szCs w:val="28"/>
          <w:lang w:val="zh-CN"/>
        </w:rPr>
      </w:pPr>
    </w:p>
    <w:p w14:paraId="0772F12A">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临时管理人地址: 贵州北斗星律师事务所（贵阳市观山湖区恒大中心E4地块B栋24楼）</w:t>
      </w:r>
    </w:p>
    <w:p w14:paraId="652CA088">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联系人及联系电话:</w:t>
      </w:r>
      <w:r>
        <w:rPr>
          <w:rFonts w:hint="eastAsia" w:ascii="仿宋" w:hAnsi="仿宋" w:eastAsia="仿宋" w:cs="仿宋"/>
          <w:sz w:val="28"/>
          <w:szCs w:val="28"/>
          <w:lang w:val="en-US" w:eastAsia="zh-CN"/>
        </w:rPr>
        <w:t>陈旭琳</w:t>
      </w:r>
      <w:r>
        <w:rPr>
          <w:rFonts w:hint="eastAsia" w:ascii="仿宋" w:hAnsi="仿宋" w:eastAsia="仿宋" w:cs="仿宋"/>
          <w:sz w:val="28"/>
          <w:szCs w:val="28"/>
          <w:lang w:val="zh-CN"/>
        </w:rPr>
        <w:t>律师（</w:t>
      </w:r>
      <w:r>
        <w:rPr>
          <w:rFonts w:hint="eastAsia" w:ascii="仿宋" w:hAnsi="仿宋" w:eastAsia="仿宋" w:cs="仿宋"/>
          <w:sz w:val="28"/>
          <w:szCs w:val="28"/>
          <w:lang w:val="en-US" w:eastAsia="zh-CN"/>
        </w:rPr>
        <w:t>18984843997</w:t>
      </w:r>
      <w:r>
        <w:rPr>
          <w:rFonts w:hint="eastAsia" w:ascii="仿宋" w:hAnsi="仿宋" w:eastAsia="仿宋" w:cs="仿宋"/>
          <w:sz w:val="28"/>
          <w:szCs w:val="28"/>
          <w:lang w:val="zh-CN"/>
        </w:rPr>
        <w:t>）;</w:t>
      </w:r>
      <w:r>
        <w:rPr>
          <w:rFonts w:hint="eastAsia" w:ascii="仿宋" w:hAnsi="仿宋" w:eastAsia="仿宋" w:cs="仿宋"/>
          <w:sz w:val="28"/>
          <w:szCs w:val="28"/>
          <w:lang w:val="en-US" w:eastAsia="zh-CN"/>
        </w:rPr>
        <w:t>兰怡焘</w:t>
      </w:r>
      <w:r>
        <w:rPr>
          <w:rFonts w:hint="eastAsia" w:ascii="仿宋" w:hAnsi="仿宋" w:eastAsia="仿宋" w:cs="仿宋"/>
          <w:sz w:val="28"/>
          <w:szCs w:val="28"/>
          <w:lang w:val="zh-CN"/>
        </w:rPr>
        <w:t>律师（</w:t>
      </w:r>
      <w:r>
        <w:rPr>
          <w:rFonts w:hint="eastAsia" w:ascii="仿宋" w:hAnsi="仿宋" w:eastAsia="仿宋" w:cs="仿宋"/>
          <w:sz w:val="28"/>
          <w:szCs w:val="28"/>
          <w:lang w:val="en-US" w:eastAsia="zh-CN"/>
        </w:rPr>
        <w:t>18585715568</w:t>
      </w:r>
      <w:r>
        <w:rPr>
          <w:rFonts w:hint="eastAsia" w:ascii="仿宋" w:hAnsi="仿宋" w:eastAsia="仿宋" w:cs="仿宋"/>
          <w:sz w:val="28"/>
          <w:szCs w:val="28"/>
          <w:lang w:val="zh-CN"/>
        </w:rPr>
        <w:t>）</w:t>
      </w:r>
    </w:p>
    <w:p w14:paraId="7C175DCA">
      <w:pPr>
        <w:snapToGrid w:val="0"/>
        <w:spacing w:line="360" w:lineRule="auto"/>
        <w:ind w:firstLine="560" w:firstLineChars="200"/>
        <w:rPr>
          <w:rFonts w:ascii="仿宋" w:hAnsi="仿宋" w:eastAsia="仿宋" w:cs="仿宋"/>
          <w:sz w:val="28"/>
          <w:szCs w:val="28"/>
          <w:lang w:val="zh-CN"/>
        </w:rPr>
      </w:pPr>
    </w:p>
    <w:p w14:paraId="27760D2A">
      <w:pPr>
        <w:snapToGrid w:val="0"/>
        <w:spacing w:line="360" w:lineRule="auto"/>
        <w:ind w:firstLine="562" w:firstLineChars="200"/>
        <w:jc w:val="right"/>
        <w:rPr>
          <w:rFonts w:ascii="黑体" w:hAnsi="黑体" w:eastAsia="黑体"/>
          <w:b/>
          <w:sz w:val="28"/>
          <w:szCs w:val="36"/>
        </w:rPr>
      </w:pPr>
      <w:r>
        <w:rPr>
          <w:rFonts w:ascii="黑体" w:hAnsi="黑体" w:eastAsia="黑体"/>
          <w:b/>
          <w:sz w:val="28"/>
          <w:szCs w:val="36"/>
        </w:rPr>
        <w:t>贵州</w:t>
      </w:r>
      <w:r>
        <w:rPr>
          <w:rFonts w:hint="eastAsia" w:ascii="黑体" w:hAnsi="黑体" w:eastAsia="黑体"/>
          <w:b/>
          <w:sz w:val="28"/>
          <w:szCs w:val="36"/>
        </w:rPr>
        <w:t>龙博房地产开发有限公司临时管理人</w:t>
      </w:r>
    </w:p>
    <w:p w14:paraId="76E3C49E">
      <w:pPr>
        <w:snapToGrid w:val="0"/>
        <w:spacing w:line="360" w:lineRule="auto"/>
        <w:ind w:right="480"/>
        <w:jc w:val="right"/>
        <w:rPr>
          <w:rFonts w:asciiTheme="minorEastAsia" w:hAnsiTheme="minorEastAsia" w:cstheme="minorEastAsia"/>
          <w:b/>
          <w:bCs/>
          <w:sz w:val="24"/>
        </w:rPr>
      </w:pPr>
      <w:r>
        <w:rPr>
          <w:rFonts w:hint="eastAsia" w:ascii="黑体" w:hAnsi="黑体" w:eastAsia="黑体"/>
          <w:b/>
          <w:sz w:val="28"/>
          <w:szCs w:val="36"/>
        </w:rPr>
        <w:t xml:space="preserve">二〇二六年九月二十三日 </w:t>
      </w:r>
      <w:r>
        <w:rPr>
          <w:rFonts w:ascii="黑体" w:hAnsi="黑体" w:eastAsia="黑体"/>
          <w:b/>
          <w:sz w:val="28"/>
          <w:szCs w:val="36"/>
        </w:rPr>
        <w:t xml:space="preserve"> </w:t>
      </w:r>
      <w:r>
        <w:rPr>
          <w:rFonts w:hint="eastAsia" w:asciiTheme="minorEastAsia" w:hAnsiTheme="minorEastAsia" w:cstheme="minorEastAsia"/>
          <w:b/>
          <w:bCs/>
          <w:sz w:val="24"/>
        </w:rPr>
        <w:t xml:space="preserve">  </w:t>
      </w:r>
    </w:p>
    <w:p w14:paraId="1AFAE2BA">
      <w:pPr>
        <w:rPr>
          <w:rFonts w:asciiTheme="minorEastAsia" w:hAnsiTheme="minorEastAsia" w:cstheme="minorEastAsia"/>
          <w:b/>
          <w:bCs/>
          <w:sz w:val="24"/>
        </w:rPr>
      </w:pPr>
      <w:r>
        <w:rPr>
          <w:rFonts w:hint="eastAsia" w:asciiTheme="minorEastAsia" w:hAnsiTheme="minorEastAsia" w:cstheme="minorEastAsia"/>
          <w:b/>
          <w:bCs/>
          <w:sz w:val="24"/>
        </w:rPr>
        <w:br w:type="page"/>
      </w:r>
    </w:p>
    <w:p w14:paraId="25D8C0AE">
      <w:pPr>
        <w:snapToGrid w:val="0"/>
        <w:spacing w:line="360" w:lineRule="auto"/>
        <w:ind w:right="480"/>
        <w:jc w:val="right"/>
        <w:rPr>
          <w:rFonts w:asciiTheme="minorEastAsia" w:hAnsiTheme="minorEastAsia" w:cstheme="minorEastAsia"/>
          <w:b/>
          <w:bCs/>
          <w:sz w:val="24"/>
          <w:lang w:eastAsia="zh-Hans"/>
        </w:rPr>
      </w:pPr>
      <w:r>
        <w:rPr>
          <w:rFonts w:hint="eastAsia" w:asciiTheme="minorEastAsia" w:hAnsiTheme="minorEastAsia" w:cstheme="minorEastAsia"/>
          <w:b/>
          <w:bCs/>
          <w:sz w:val="24"/>
        </w:rPr>
        <w:t xml:space="preserve"> </w:t>
      </w:r>
      <w:r>
        <w:rPr>
          <w:rFonts w:asciiTheme="minorEastAsia" w:hAnsiTheme="minorEastAsia" w:cstheme="minorEastAsia"/>
          <w:b/>
          <w:bCs/>
          <w:sz w:val="24"/>
          <w:lang w:eastAsia="zh-Hans"/>
        </w:rPr>
        <w:t xml:space="preserve">   </w:t>
      </w:r>
      <w:r>
        <w:rPr>
          <w:rFonts w:hint="eastAsia" w:asciiTheme="minorEastAsia" w:hAnsiTheme="minorEastAsia" w:cstheme="minorEastAsia"/>
          <w:b/>
          <w:bCs/>
          <w:sz w:val="24"/>
        </w:rPr>
        <w:t xml:space="preserve">    </w:t>
      </w:r>
      <w:r>
        <w:rPr>
          <w:rFonts w:asciiTheme="minorEastAsia" w:hAnsiTheme="minorEastAsia" w:cstheme="minorEastAsia"/>
          <w:b/>
          <w:bCs/>
          <w:sz w:val="24"/>
          <w:lang w:eastAsia="zh-Hans"/>
        </w:rPr>
        <w:t xml:space="preserve">           </w:t>
      </w:r>
    </w:p>
    <w:p w14:paraId="07649527">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附件1:竞聘响应函</w:t>
      </w:r>
    </w:p>
    <w:p w14:paraId="38BAA6A6">
      <w:pPr>
        <w:snapToGrid w:val="0"/>
        <w:spacing w:line="360" w:lineRule="auto"/>
        <w:ind w:firstLine="560" w:firstLineChars="200"/>
        <w:jc w:val="center"/>
        <w:rPr>
          <w:rFonts w:ascii="仿宋" w:hAnsi="仿宋" w:eastAsia="仿宋" w:cs="仿宋"/>
          <w:sz w:val="28"/>
          <w:szCs w:val="28"/>
          <w:lang w:val="zh-CN"/>
        </w:rPr>
      </w:pPr>
      <w:r>
        <w:rPr>
          <w:rFonts w:hint="eastAsia" w:ascii="仿宋" w:hAnsi="仿宋" w:eastAsia="仿宋" w:cs="仿宋"/>
          <w:sz w:val="28"/>
          <w:szCs w:val="28"/>
          <w:lang w:val="zh-CN"/>
        </w:rPr>
        <w:t>竞聘响应函</w:t>
      </w:r>
    </w:p>
    <w:p w14:paraId="6B9811F5">
      <w:pPr>
        <w:snapToGrid w:val="0"/>
        <w:spacing w:line="360" w:lineRule="auto"/>
        <w:ind w:right="2940"/>
        <w:jc w:val="left"/>
        <w:rPr>
          <w:rFonts w:ascii="仿宋" w:hAnsi="仿宋" w:eastAsia="仿宋" w:cs="仿宋"/>
          <w:sz w:val="28"/>
          <w:szCs w:val="28"/>
          <w:lang w:val="zh-CN"/>
        </w:rPr>
      </w:pPr>
    </w:p>
    <w:p w14:paraId="43F5D42C">
      <w:pPr>
        <w:snapToGrid w:val="0"/>
        <w:spacing w:line="360" w:lineRule="auto"/>
        <w:ind w:right="2940"/>
        <w:jc w:val="left"/>
        <w:rPr>
          <w:rFonts w:ascii="仿宋" w:hAnsi="仿宋" w:eastAsia="仿宋" w:cs="仿宋"/>
          <w:sz w:val="28"/>
          <w:szCs w:val="28"/>
          <w:lang w:val="zh-CN"/>
        </w:rPr>
      </w:pPr>
      <w:r>
        <w:rPr>
          <w:rFonts w:ascii="仿宋" w:hAnsi="仿宋" w:eastAsia="仿宋" w:cs="仿宋"/>
          <w:sz w:val="28"/>
          <w:szCs w:val="28"/>
          <w:lang w:val="zh-CN"/>
        </w:rPr>
        <w:t>贵州</w:t>
      </w:r>
      <w:r>
        <w:rPr>
          <w:rFonts w:hint="eastAsia" w:ascii="仿宋" w:hAnsi="仿宋" w:eastAsia="仿宋" w:cs="仿宋"/>
          <w:sz w:val="28"/>
          <w:szCs w:val="28"/>
          <w:lang w:val="zh-CN"/>
        </w:rPr>
        <w:t>龙博房地产开发有限公司临时管理人</w:t>
      </w:r>
    </w:p>
    <w:p w14:paraId="48D972AD">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我单位（名称：＿＿＿＿，统一社会信用代码：＿＿＿＿，住所：＿＿＿＿，法定代表人：＿＿＿＿）已认真阅读并充分理解贵方《关于公开选聘评估机构的公告》的全部内容，自愿响应贵方服务需求，参与本次评估机构选聘。如我单位被确定为中选机构，将依约向贵方提供专业、高效、严谨的评估服务。</w:t>
      </w:r>
    </w:p>
    <w:p w14:paraId="591136C1">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以下事项，系我单位为完成本次评估工作的</w:t>
      </w:r>
      <w:r>
        <w:rPr>
          <w:rFonts w:hint="eastAsia" w:ascii="仿宋" w:hAnsi="仿宋" w:eastAsia="仿宋" w:cs="仿宋"/>
          <w:sz w:val="28"/>
          <w:szCs w:val="28"/>
        </w:rPr>
        <w:t>主要响应</w:t>
      </w:r>
      <w:r>
        <w:rPr>
          <w:rFonts w:hint="eastAsia" w:ascii="仿宋" w:hAnsi="仿宋" w:eastAsia="仿宋" w:cs="仿宋"/>
          <w:sz w:val="28"/>
          <w:szCs w:val="28"/>
          <w:lang w:val="zh-CN"/>
        </w:rPr>
        <w:t>：</w:t>
      </w:r>
    </w:p>
    <w:p w14:paraId="046E7723">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val="zh-CN"/>
        </w:rPr>
        <w:t>一、团队</w:t>
      </w:r>
      <w:r>
        <w:rPr>
          <w:rFonts w:hint="eastAsia" w:ascii="仿宋" w:hAnsi="仿宋" w:eastAsia="仿宋" w:cs="仿宋"/>
          <w:sz w:val="28"/>
          <w:szCs w:val="28"/>
        </w:rPr>
        <w:t>配置</w:t>
      </w:r>
    </w:p>
    <w:p w14:paraId="1CDD3835">
      <w:pPr>
        <w:snapToGrid w:val="0"/>
        <w:spacing w:line="360" w:lineRule="auto"/>
        <w:ind w:firstLine="560" w:firstLineChars="200"/>
        <w:rPr>
          <w:rFonts w:ascii="仿宋" w:hAnsi="仿宋" w:eastAsia="仿宋" w:cs="仿宋"/>
          <w:sz w:val="28"/>
          <w:szCs w:val="28"/>
          <w:lang w:val="zh-CN"/>
        </w:rPr>
      </w:pPr>
    </w:p>
    <w:p w14:paraId="6DC20F76">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二、报价</w:t>
      </w:r>
    </w:p>
    <w:p w14:paraId="48D80346">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本次服务报价为人民币</w:t>
      </w:r>
      <w:r>
        <w:rPr>
          <w:rFonts w:hint="eastAsia" w:ascii="仿宋" w:hAnsi="仿宋" w:eastAsia="仿宋" w:cs="仿宋"/>
          <w:sz w:val="28"/>
          <w:szCs w:val="28"/>
          <w:u w:val="single"/>
        </w:rPr>
        <w:t xml:space="preserve">         </w:t>
      </w:r>
      <w:r>
        <w:rPr>
          <w:rFonts w:hint="eastAsia" w:ascii="仿宋" w:hAnsi="仿宋" w:eastAsia="仿宋" w:cs="仿宋"/>
          <w:sz w:val="28"/>
          <w:szCs w:val="28"/>
          <w:lang w:val="zh-CN"/>
        </w:rPr>
        <w:t>元</w:t>
      </w:r>
    </w:p>
    <w:p w14:paraId="2202735E">
      <w:pPr>
        <w:snapToGrid w:val="0"/>
        <w:spacing w:line="360" w:lineRule="auto"/>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 xml:space="preserve"> □初步报价     □最终报价</w:t>
      </w:r>
    </w:p>
    <w:p w14:paraId="531095F1">
      <w:pPr>
        <w:snapToGrid w:val="0"/>
        <w:spacing w:line="360" w:lineRule="auto"/>
        <w:ind w:firstLine="560" w:firstLineChars="200"/>
        <w:rPr>
          <w:rFonts w:ascii="仿宋" w:hAnsi="仿宋" w:eastAsia="仿宋" w:cs="仿宋"/>
          <w:sz w:val="28"/>
          <w:szCs w:val="28"/>
          <w:lang w:val="zh-CN"/>
        </w:rPr>
      </w:pPr>
    </w:p>
    <w:p w14:paraId="3E55329D">
      <w:pPr>
        <w:snapToGrid w:val="0"/>
        <w:spacing w:line="360" w:lineRule="auto"/>
        <w:ind w:left="571"/>
        <w:rPr>
          <w:rFonts w:ascii="仿宋" w:hAnsi="仿宋" w:eastAsia="仿宋" w:cs="仿宋"/>
          <w:sz w:val="28"/>
          <w:szCs w:val="28"/>
          <w:lang w:val="zh-CN"/>
        </w:rPr>
      </w:pPr>
      <w:r>
        <w:rPr>
          <w:rFonts w:hint="eastAsia" w:ascii="仿宋" w:hAnsi="仿宋" w:eastAsia="仿宋" w:cs="仿宋"/>
          <w:sz w:val="28"/>
          <w:szCs w:val="28"/>
        </w:rPr>
        <w:t>三、</w:t>
      </w:r>
      <w:r>
        <w:rPr>
          <w:rFonts w:hint="eastAsia" w:ascii="仿宋" w:hAnsi="仿宋" w:eastAsia="仿宋" w:cs="仿宋"/>
          <w:sz w:val="28"/>
          <w:szCs w:val="28"/>
          <w:lang w:val="zh-CN"/>
        </w:rPr>
        <w:t>出具报告的期限</w:t>
      </w:r>
    </w:p>
    <w:p w14:paraId="658398BC">
      <w:pPr>
        <w:snapToGrid w:val="0"/>
        <w:spacing w:line="360" w:lineRule="auto"/>
        <w:ind w:left="571"/>
        <w:rPr>
          <w:rFonts w:ascii="仿宋" w:hAnsi="仿宋" w:eastAsia="仿宋" w:cs="仿宋"/>
          <w:sz w:val="28"/>
          <w:szCs w:val="28"/>
          <w:lang w:val="zh-CN"/>
        </w:rPr>
      </w:pPr>
      <w:r>
        <w:rPr>
          <w:rFonts w:hint="eastAsia" w:ascii="仿宋" w:hAnsi="仿宋" w:eastAsia="仿宋" w:cs="仿宋"/>
          <w:sz w:val="28"/>
          <w:szCs w:val="28"/>
          <w:lang w:val="zh-CN"/>
        </w:rPr>
        <w:t>承诺自委托合同生效之日起</w:t>
      </w:r>
      <w:r>
        <w:rPr>
          <w:rFonts w:hint="eastAsia" w:ascii="仿宋" w:hAnsi="仿宋" w:eastAsia="仿宋" w:cs="仿宋"/>
          <w:sz w:val="28"/>
          <w:szCs w:val="28"/>
          <w:u w:val="single"/>
        </w:rPr>
        <w:t xml:space="preserve">     </w:t>
      </w:r>
      <w:r>
        <w:rPr>
          <w:rFonts w:hint="eastAsia" w:ascii="仿宋" w:hAnsi="仿宋" w:eastAsia="仿宋" w:cs="仿宋"/>
          <w:sz w:val="28"/>
          <w:szCs w:val="28"/>
          <w:lang w:val="zh-CN"/>
        </w:rPr>
        <w:t>日内出具评估报告。</w:t>
      </w:r>
    </w:p>
    <w:p w14:paraId="04874D20">
      <w:pPr>
        <w:spacing w:line="263" w:lineRule="auto"/>
        <w:rPr>
          <w:rFonts w:ascii="仿宋" w:hAnsi="仿宋" w:eastAsia="仿宋" w:cs="仿宋"/>
          <w:sz w:val="28"/>
          <w:szCs w:val="28"/>
          <w:lang w:val="zh-CN"/>
        </w:rPr>
      </w:pPr>
    </w:p>
    <w:p w14:paraId="55A67C85">
      <w:pPr>
        <w:wordWrap w:val="0"/>
        <w:snapToGrid w:val="0"/>
        <w:spacing w:line="360" w:lineRule="auto"/>
        <w:ind w:firstLine="560" w:firstLineChars="200"/>
        <w:jc w:val="right"/>
        <w:rPr>
          <w:rFonts w:ascii="仿宋" w:hAnsi="仿宋" w:eastAsia="仿宋" w:cs="仿宋"/>
          <w:sz w:val="28"/>
          <w:szCs w:val="28"/>
          <w:lang w:val="zh-CN"/>
        </w:rPr>
      </w:pPr>
      <w:r>
        <w:rPr>
          <w:rFonts w:hint="eastAsia" w:ascii="仿宋" w:hAnsi="仿宋" w:eastAsia="仿宋" w:cs="仿宋"/>
          <w:sz w:val="28"/>
          <w:szCs w:val="28"/>
          <w:lang w:val="zh-CN"/>
        </w:rPr>
        <w:t>响应人（盖章）：</w:t>
      </w:r>
    </w:p>
    <w:p w14:paraId="6F03E77C">
      <w:pPr>
        <w:snapToGrid w:val="0"/>
        <w:spacing w:line="360" w:lineRule="auto"/>
        <w:ind w:firstLine="560" w:firstLineChars="200"/>
        <w:jc w:val="right"/>
        <w:rPr>
          <w:rFonts w:ascii="仿宋" w:hAnsi="仿宋" w:eastAsia="仿宋" w:cs="仿宋"/>
          <w:sz w:val="28"/>
          <w:szCs w:val="28"/>
          <w:lang w:val="zh-CN"/>
        </w:rPr>
      </w:pPr>
    </w:p>
    <w:p w14:paraId="03D472D7">
      <w:pPr>
        <w:wordWrap w:val="0"/>
        <w:snapToGrid w:val="0"/>
        <w:spacing w:line="360" w:lineRule="auto"/>
        <w:ind w:firstLine="560" w:firstLineChars="200"/>
        <w:jc w:val="right"/>
        <w:rPr>
          <w:rFonts w:ascii="仿宋" w:hAnsi="仿宋" w:eastAsia="仿宋" w:cs="仿宋"/>
          <w:sz w:val="28"/>
          <w:szCs w:val="28"/>
          <w:lang w:val="zh-CN"/>
        </w:rPr>
      </w:pPr>
      <w:r>
        <w:rPr>
          <w:rFonts w:hint="eastAsia" w:ascii="仿宋" w:hAnsi="仿宋" w:eastAsia="仿宋" w:cs="仿宋"/>
          <w:sz w:val="28"/>
          <w:szCs w:val="28"/>
          <w:lang w:val="zh-CN"/>
        </w:rPr>
        <w:t xml:space="preserve">法定代表人或授权代表（签字）： </w:t>
      </w:r>
    </w:p>
    <w:p w14:paraId="08466013">
      <w:pPr>
        <w:snapToGrid w:val="0"/>
        <w:spacing w:line="360" w:lineRule="auto"/>
        <w:ind w:firstLine="560" w:firstLineChars="200"/>
        <w:jc w:val="right"/>
        <w:rPr>
          <w:rFonts w:ascii="仿宋" w:hAnsi="仿宋" w:eastAsia="仿宋" w:cs="仿宋"/>
          <w:sz w:val="28"/>
          <w:szCs w:val="28"/>
          <w:lang w:val="zh-CN"/>
        </w:rPr>
      </w:pPr>
      <w:r>
        <w:rPr>
          <w:rFonts w:hint="eastAsia" w:ascii="仿宋" w:hAnsi="仿宋" w:eastAsia="仿宋" w:cs="仿宋"/>
          <w:sz w:val="28"/>
          <w:szCs w:val="28"/>
          <w:lang w:val="zh-CN"/>
        </w:rPr>
        <w:t>年   月    日</w:t>
      </w:r>
    </w:p>
    <w:sectPr>
      <w:headerReference r:id="rId4" w:type="defaul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applesimplifiedchinesefont">
    <w:altName w:val="Segoe Print"/>
    <w:panose1 w:val="020B06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PingFangSC-Regular">
    <w:altName w:val="宋体"/>
    <w:panose1 w:val="020B0604020202020204"/>
    <w:charset w:val="86"/>
    <w:family w:val="swiss"/>
    <w:pitch w:val="default"/>
    <w:sig w:usb0="00000000" w:usb1="00000000" w:usb2="00000017" w:usb3="00000000" w:csb0="00040001" w:csb1="00000000"/>
  </w:font>
  <w:font w:name=".SFUI-Regular">
    <w:altName w:val="Segoe Print"/>
    <w:panose1 w:val="020B0604020202020204"/>
    <w:charset w:val="00"/>
    <w:family w:val="swiss"/>
    <w:pitch w:val="default"/>
    <w:sig w:usb0="00000000" w:usb1="00000000" w:usb2="00000000" w:usb3="00000000" w:csb0="0000019F" w:csb1="00000000"/>
  </w:font>
  <w:font w:name="STFangsong">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3C471">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BA25D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6BA25DA">
                    <w:pPr>
                      <w:pStyle w:val="7"/>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FC48194">
      <w:pPr>
        <w:pStyle w:val="9"/>
      </w:pPr>
      <w:r>
        <w:rPr>
          <w:rStyle w:val="19"/>
        </w:rPr>
        <w:footnoteRef/>
      </w:r>
      <w:r>
        <w:t xml:space="preserve"> </w:t>
      </w:r>
      <w:r>
        <w:rPr>
          <w:rFonts w:hint="eastAsia"/>
        </w:rPr>
        <w:t>目前，</w:t>
      </w:r>
      <w:r>
        <w:rPr>
          <w:rFonts w:hint="eastAsia"/>
          <w:lang w:eastAsia="zh-CN"/>
        </w:rPr>
        <w:t>龙博公司</w:t>
      </w:r>
      <w:r>
        <w:rPr>
          <w:rFonts w:hint="eastAsia"/>
        </w:rPr>
        <w:t>名下土地使用权因地铁占地和调规绿化占地约21亩，因此土地使用权具体面积以后续核准为准。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1157A">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DC03B5"/>
    <w:multiLevelType w:val="multilevel"/>
    <w:tmpl w:val="61DC03B5"/>
    <w:lvl w:ilvl="0" w:tentative="0">
      <w:start w:val="1"/>
      <w:numFmt w:val="japaneseCounting"/>
      <w:lvlText w:val="%1、"/>
      <w:lvlJc w:val="left"/>
      <w:pPr>
        <w:ind w:left="1131" w:hanging="560"/>
      </w:pPr>
      <w:rPr>
        <w:rFonts w:hint="default"/>
      </w:rPr>
    </w:lvl>
    <w:lvl w:ilvl="1" w:tentative="0">
      <w:start w:val="1"/>
      <w:numFmt w:val="lowerLetter"/>
      <w:lvlText w:val="%2)"/>
      <w:lvlJc w:val="left"/>
      <w:pPr>
        <w:ind w:left="1451" w:hanging="440"/>
      </w:pPr>
    </w:lvl>
    <w:lvl w:ilvl="2" w:tentative="0">
      <w:start w:val="1"/>
      <w:numFmt w:val="lowerRoman"/>
      <w:lvlText w:val="%3."/>
      <w:lvlJc w:val="right"/>
      <w:pPr>
        <w:ind w:left="1891" w:hanging="440"/>
      </w:pPr>
    </w:lvl>
    <w:lvl w:ilvl="3" w:tentative="0">
      <w:start w:val="1"/>
      <w:numFmt w:val="decimal"/>
      <w:lvlText w:val="%4."/>
      <w:lvlJc w:val="left"/>
      <w:pPr>
        <w:ind w:left="2331" w:hanging="440"/>
      </w:pPr>
    </w:lvl>
    <w:lvl w:ilvl="4" w:tentative="0">
      <w:start w:val="1"/>
      <w:numFmt w:val="lowerLetter"/>
      <w:lvlText w:val="%5)"/>
      <w:lvlJc w:val="left"/>
      <w:pPr>
        <w:ind w:left="2771" w:hanging="440"/>
      </w:pPr>
    </w:lvl>
    <w:lvl w:ilvl="5" w:tentative="0">
      <w:start w:val="1"/>
      <w:numFmt w:val="lowerRoman"/>
      <w:lvlText w:val="%6."/>
      <w:lvlJc w:val="right"/>
      <w:pPr>
        <w:ind w:left="3211" w:hanging="440"/>
      </w:pPr>
    </w:lvl>
    <w:lvl w:ilvl="6" w:tentative="0">
      <w:start w:val="1"/>
      <w:numFmt w:val="decimal"/>
      <w:lvlText w:val="%7."/>
      <w:lvlJc w:val="left"/>
      <w:pPr>
        <w:ind w:left="3651" w:hanging="440"/>
      </w:pPr>
    </w:lvl>
    <w:lvl w:ilvl="7" w:tentative="0">
      <w:start w:val="1"/>
      <w:numFmt w:val="lowerLetter"/>
      <w:lvlText w:val="%8)"/>
      <w:lvlJc w:val="left"/>
      <w:pPr>
        <w:ind w:left="4091" w:hanging="440"/>
      </w:pPr>
    </w:lvl>
    <w:lvl w:ilvl="8" w:tentative="0">
      <w:start w:val="1"/>
      <w:numFmt w:val="lowerRoman"/>
      <w:lvlText w:val="%9."/>
      <w:lvlJc w:val="right"/>
      <w:pPr>
        <w:ind w:left="453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B4F6F"/>
    <w:rsid w:val="00003DED"/>
    <w:rsid w:val="00020921"/>
    <w:rsid w:val="00021CBE"/>
    <w:rsid w:val="00021ED8"/>
    <w:rsid w:val="00036ACE"/>
    <w:rsid w:val="00040B4F"/>
    <w:rsid w:val="00094EA6"/>
    <w:rsid w:val="000A098E"/>
    <w:rsid w:val="000B0242"/>
    <w:rsid w:val="000B3B6A"/>
    <w:rsid w:val="000B3E2B"/>
    <w:rsid w:val="000B4F64"/>
    <w:rsid w:val="000B5A56"/>
    <w:rsid w:val="000D7B0E"/>
    <w:rsid w:val="0011326F"/>
    <w:rsid w:val="00121177"/>
    <w:rsid w:val="00134C7A"/>
    <w:rsid w:val="00142206"/>
    <w:rsid w:val="001621CB"/>
    <w:rsid w:val="001707ED"/>
    <w:rsid w:val="00177997"/>
    <w:rsid w:val="001A259C"/>
    <w:rsid w:val="001A2EE4"/>
    <w:rsid w:val="001A5D57"/>
    <w:rsid w:val="001B7DED"/>
    <w:rsid w:val="001C054B"/>
    <w:rsid w:val="001E15DB"/>
    <w:rsid w:val="001E64CE"/>
    <w:rsid w:val="001F31EE"/>
    <w:rsid w:val="0021678E"/>
    <w:rsid w:val="002271B2"/>
    <w:rsid w:val="0025150A"/>
    <w:rsid w:val="00254BF8"/>
    <w:rsid w:val="00266D34"/>
    <w:rsid w:val="0028167F"/>
    <w:rsid w:val="002A7FD2"/>
    <w:rsid w:val="002B3AE3"/>
    <w:rsid w:val="002D30A4"/>
    <w:rsid w:val="002E1872"/>
    <w:rsid w:val="002E270C"/>
    <w:rsid w:val="002F58BD"/>
    <w:rsid w:val="00334385"/>
    <w:rsid w:val="00343CAB"/>
    <w:rsid w:val="00374849"/>
    <w:rsid w:val="00385CBD"/>
    <w:rsid w:val="00396CB5"/>
    <w:rsid w:val="00397FBC"/>
    <w:rsid w:val="003A1FD8"/>
    <w:rsid w:val="003B2E83"/>
    <w:rsid w:val="003B4499"/>
    <w:rsid w:val="003B5B3E"/>
    <w:rsid w:val="003C065E"/>
    <w:rsid w:val="003C2EAC"/>
    <w:rsid w:val="003D022E"/>
    <w:rsid w:val="003E2B52"/>
    <w:rsid w:val="003E5A83"/>
    <w:rsid w:val="00417BF8"/>
    <w:rsid w:val="0042733A"/>
    <w:rsid w:val="00466830"/>
    <w:rsid w:val="004721C4"/>
    <w:rsid w:val="004820C4"/>
    <w:rsid w:val="00494A89"/>
    <w:rsid w:val="00495126"/>
    <w:rsid w:val="004B6F75"/>
    <w:rsid w:val="004E2D4B"/>
    <w:rsid w:val="004F0320"/>
    <w:rsid w:val="00512559"/>
    <w:rsid w:val="00551789"/>
    <w:rsid w:val="00553672"/>
    <w:rsid w:val="00554AEC"/>
    <w:rsid w:val="00565DA2"/>
    <w:rsid w:val="00566687"/>
    <w:rsid w:val="005704F1"/>
    <w:rsid w:val="00576A74"/>
    <w:rsid w:val="0059176F"/>
    <w:rsid w:val="005A2554"/>
    <w:rsid w:val="005A53D3"/>
    <w:rsid w:val="005E0784"/>
    <w:rsid w:val="0062398A"/>
    <w:rsid w:val="00685950"/>
    <w:rsid w:val="006F2E32"/>
    <w:rsid w:val="006F57B7"/>
    <w:rsid w:val="0072060F"/>
    <w:rsid w:val="0072778E"/>
    <w:rsid w:val="007358D6"/>
    <w:rsid w:val="0073647B"/>
    <w:rsid w:val="00742D77"/>
    <w:rsid w:val="00742F0A"/>
    <w:rsid w:val="00774F42"/>
    <w:rsid w:val="00785504"/>
    <w:rsid w:val="00792C5A"/>
    <w:rsid w:val="007948E6"/>
    <w:rsid w:val="00795A55"/>
    <w:rsid w:val="0079722C"/>
    <w:rsid w:val="007A0B70"/>
    <w:rsid w:val="007B23A0"/>
    <w:rsid w:val="007B45D9"/>
    <w:rsid w:val="007C4798"/>
    <w:rsid w:val="007D1F61"/>
    <w:rsid w:val="007E086A"/>
    <w:rsid w:val="007F1AFA"/>
    <w:rsid w:val="0080363B"/>
    <w:rsid w:val="00837DFE"/>
    <w:rsid w:val="0084628F"/>
    <w:rsid w:val="00851AAF"/>
    <w:rsid w:val="0085417E"/>
    <w:rsid w:val="0089116A"/>
    <w:rsid w:val="00891CF0"/>
    <w:rsid w:val="008A16AE"/>
    <w:rsid w:val="008C0088"/>
    <w:rsid w:val="008D01E0"/>
    <w:rsid w:val="008E49B7"/>
    <w:rsid w:val="008F50F2"/>
    <w:rsid w:val="008F6F35"/>
    <w:rsid w:val="009244D9"/>
    <w:rsid w:val="00927F7E"/>
    <w:rsid w:val="0093793A"/>
    <w:rsid w:val="0094689D"/>
    <w:rsid w:val="00983EF5"/>
    <w:rsid w:val="00986422"/>
    <w:rsid w:val="00986730"/>
    <w:rsid w:val="009D1619"/>
    <w:rsid w:val="009D3930"/>
    <w:rsid w:val="009F2928"/>
    <w:rsid w:val="009F70EE"/>
    <w:rsid w:val="00A01C56"/>
    <w:rsid w:val="00A13DF1"/>
    <w:rsid w:val="00A14346"/>
    <w:rsid w:val="00A50526"/>
    <w:rsid w:val="00A554D6"/>
    <w:rsid w:val="00A609EB"/>
    <w:rsid w:val="00A71764"/>
    <w:rsid w:val="00A85D5A"/>
    <w:rsid w:val="00A911E9"/>
    <w:rsid w:val="00A92FD4"/>
    <w:rsid w:val="00A95E1A"/>
    <w:rsid w:val="00AA7372"/>
    <w:rsid w:val="00AB0566"/>
    <w:rsid w:val="00AB2F36"/>
    <w:rsid w:val="00AC26FA"/>
    <w:rsid w:val="00AC6723"/>
    <w:rsid w:val="00AF712A"/>
    <w:rsid w:val="00AF7DA4"/>
    <w:rsid w:val="00B04F1F"/>
    <w:rsid w:val="00B2433E"/>
    <w:rsid w:val="00B259F2"/>
    <w:rsid w:val="00B31E8C"/>
    <w:rsid w:val="00B40D55"/>
    <w:rsid w:val="00B64C13"/>
    <w:rsid w:val="00B655F3"/>
    <w:rsid w:val="00B703F2"/>
    <w:rsid w:val="00B94F7F"/>
    <w:rsid w:val="00BB5181"/>
    <w:rsid w:val="00BC5C05"/>
    <w:rsid w:val="00BE0EE4"/>
    <w:rsid w:val="00BE5D4B"/>
    <w:rsid w:val="00BF5CCE"/>
    <w:rsid w:val="00C0735A"/>
    <w:rsid w:val="00C1249B"/>
    <w:rsid w:val="00C23725"/>
    <w:rsid w:val="00C315EA"/>
    <w:rsid w:val="00C32158"/>
    <w:rsid w:val="00C36007"/>
    <w:rsid w:val="00C40DE2"/>
    <w:rsid w:val="00C7444D"/>
    <w:rsid w:val="00C75AF5"/>
    <w:rsid w:val="00C91E61"/>
    <w:rsid w:val="00CC2A74"/>
    <w:rsid w:val="00CC6589"/>
    <w:rsid w:val="00D01D4A"/>
    <w:rsid w:val="00D06F4C"/>
    <w:rsid w:val="00D13C75"/>
    <w:rsid w:val="00D23366"/>
    <w:rsid w:val="00D25966"/>
    <w:rsid w:val="00D26DF1"/>
    <w:rsid w:val="00D358DD"/>
    <w:rsid w:val="00D414C9"/>
    <w:rsid w:val="00D5014D"/>
    <w:rsid w:val="00D56B6D"/>
    <w:rsid w:val="00D65BB8"/>
    <w:rsid w:val="00D806FA"/>
    <w:rsid w:val="00DA2591"/>
    <w:rsid w:val="00DA2F48"/>
    <w:rsid w:val="00DB3E81"/>
    <w:rsid w:val="00DB7451"/>
    <w:rsid w:val="00DB79D8"/>
    <w:rsid w:val="00DB7BCD"/>
    <w:rsid w:val="00DC51D5"/>
    <w:rsid w:val="00DC7C1B"/>
    <w:rsid w:val="00DE3C82"/>
    <w:rsid w:val="00DE78E7"/>
    <w:rsid w:val="00DF21C2"/>
    <w:rsid w:val="00DF3775"/>
    <w:rsid w:val="00DF38CB"/>
    <w:rsid w:val="00DF3E36"/>
    <w:rsid w:val="00DF46F6"/>
    <w:rsid w:val="00E12220"/>
    <w:rsid w:val="00E246E6"/>
    <w:rsid w:val="00E25ACA"/>
    <w:rsid w:val="00E263A3"/>
    <w:rsid w:val="00E35528"/>
    <w:rsid w:val="00E3586F"/>
    <w:rsid w:val="00E65B31"/>
    <w:rsid w:val="00E860A3"/>
    <w:rsid w:val="00EC66A4"/>
    <w:rsid w:val="00EC6D44"/>
    <w:rsid w:val="00EC7699"/>
    <w:rsid w:val="00ED0747"/>
    <w:rsid w:val="00EE43E4"/>
    <w:rsid w:val="00EF06F3"/>
    <w:rsid w:val="00EF77D1"/>
    <w:rsid w:val="00F021EC"/>
    <w:rsid w:val="00F0764F"/>
    <w:rsid w:val="00F07FD3"/>
    <w:rsid w:val="00F24286"/>
    <w:rsid w:val="00F67B8C"/>
    <w:rsid w:val="00F72798"/>
    <w:rsid w:val="00F84C83"/>
    <w:rsid w:val="00FD6200"/>
    <w:rsid w:val="00FE13F9"/>
    <w:rsid w:val="00FE4479"/>
    <w:rsid w:val="00FE50D2"/>
    <w:rsid w:val="07E3726B"/>
    <w:rsid w:val="09DA7DB0"/>
    <w:rsid w:val="12E5062C"/>
    <w:rsid w:val="176B6B8E"/>
    <w:rsid w:val="1B9C1E2B"/>
    <w:rsid w:val="1E4F6CC3"/>
    <w:rsid w:val="289E2CDF"/>
    <w:rsid w:val="293B4F6F"/>
    <w:rsid w:val="29BB16F2"/>
    <w:rsid w:val="2CDB091C"/>
    <w:rsid w:val="328B10C7"/>
    <w:rsid w:val="389F300B"/>
    <w:rsid w:val="3E87034C"/>
    <w:rsid w:val="3EEFB70E"/>
    <w:rsid w:val="4047451D"/>
    <w:rsid w:val="40B2127C"/>
    <w:rsid w:val="469969F1"/>
    <w:rsid w:val="477B1BB4"/>
    <w:rsid w:val="4EE132B0"/>
    <w:rsid w:val="4F6B64D3"/>
    <w:rsid w:val="506B12EA"/>
    <w:rsid w:val="52C00B45"/>
    <w:rsid w:val="541B2521"/>
    <w:rsid w:val="54931AF5"/>
    <w:rsid w:val="58920564"/>
    <w:rsid w:val="5BF71757"/>
    <w:rsid w:val="666270C0"/>
    <w:rsid w:val="6BF74981"/>
    <w:rsid w:val="6EEE84A5"/>
    <w:rsid w:val="6FAFC0CE"/>
    <w:rsid w:val="6FF797CE"/>
    <w:rsid w:val="6FFA8B7B"/>
    <w:rsid w:val="7264049E"/>
    <w:rsid w:val="7B6B205E"/>
    <w:rsid w:val="7BA31B5A"/>
    <w:rsid w:val="7BFDCE3D"/>
    <w:rsid w:val="7DB5CCDB"/>
    <w:rsid w:val="BD9F4CAB"/>
    <w:rsid w:val="E7EF5500"/>
    <w:rsid w:val="E9EF5A7D"/>
    <w:rsid w:val="ED6F9E49"/>
    <w:rsid w:val="F9F35131"/>
    <w:rsid w:val="FCAFDFC4"/>
    <w:rsid w:val="FF870326"/>
    <w:rsid w:val="FFFFD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qFormat="1"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28"/>
    <w:unhideWhenUsed/>
    <w:qFormat/>
    <w:uiPriority w:val="0"/>
    <w:pPr>
      <w:spacing w:before="100" w:beforeAutospacing="1" w:after="100" w:afterAutospacing="1"/>
      <w:jc w:val="left"/>
      <w:outlineLvl w:val="1"/>
    </w:pPr>
    <w:rPr>
      <w:rFonts w:hint="eastAsia" w:ascii="宋体" w:hAnsi="宋体" w:eastAsia="宋体" w:cs="Times New Roman"/>
      <w:b/>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Salutation"/>
    <w:basedOn w:val="1"/>
    <w:next w:val="1"/>
    <w:link w:val="26"/>
    <w:qFormat/>
    <w:uiPriority w:val="0"/>
    <w:rPr>
      <w:rFonts w:ascii="宋体" w:hAnsi="宋体"/>
      <w:sz w:val="24"/>
    </w:rPr>
  </w:style>
  <w:style w:type="paragraph" w:styleId="4">
    <w:name w:val="Closing"/>
    <w:basedOn w:val="1"/>
    <w:link w:val="27"/>
    <w:qFormat/>
    <w:uiPriority w:val="0"/>
    <w:pPr>
      <w:ind w:left="100" w:leftChars="2100"/>
    </w:pPr>
    <w:rPr>
      <w:rFonts w:ascii="宋体" w:hAnsi="宋体"/>
      <w:sz w:val="24"/>
    </w:rPr>
  </w:style>
  <w:style w:type="paragraph" w:styleId="5">
    <w:name w:val="Body Text"/>
    <w:basedOn w:val="1"/>
    <w:link w:val="30"/>
    <w:qFormat/>
    <w:uiPriority w:val="0"/>
    <w:pPr>
      <w:widowControl/>
      <w:spacing w:before="180" w:after="180"/>
      <w:jc w:val="left"/>
    </w:pPr>
    <w:rPr>
      <w:rFonts w:eastAsiaTheme="minorHAnsi"/>
      <w:kern w:val="0"/>
      <w:sz w:val="24"/>
      <w:lang w:eastAsia="en-US"/>
    </w:rPr>
  </w:style>
  <w:style w:type="paragraph" w:styleId="6">
    <w:name w:val="Date"/>
    <w:basedOn w:val="1"/>
    <w:next w:val="1"/>
    <w:link w:val="25"/>
    <w:qFormat/>
    <w:uiPriority w:val="0"/>
    <w:pPr>
      <w:ind w:left="100" w:leftChars="2500"/>
    </w:pPr>
  </w:style>
  <w:style w:type="paragraph" w:styleId="7">
    <w:name w:val="footer"/>
    <w:basedOn w:val="1"/>
    <w:link w:val="21"/>
    <w:qFormat/>
    <w:uiPriority w:val="99"/>
    <w:pPr>
      <w:tabs>
        <w:tab w:val="center" w:pos="4320"/>
        <w:tab w:val="right" w:pos="8640"/>
      </w:tabs>
    </w:pPr>
  </w:style>
  <w:style w:type="paragraph" w:styleId="8">
    <w:name w:val="header"/>
    <w:basedOn w:val="1"/>
    <w:link w:val="20"/>
    <w:qFormat/>
    <w:uiPriority w:val="0"/>
    <w:pPr>
      <w:tabs>
        <w:tab w:val="center" w:pos="4320"/>
        <w:tab w:val="right" w:pos="8640"/>
      </w:tabs>
    </w:pPr>
  </w:style>
  <w:style w:type="paragraph" w:styleId="9">
    <w:name w:val="footnote text"/>
    <w:basedOn w:val="1"/>
    <w:link w:val="36"/>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jc w:val="left"/>
    </w:pPr>
    <w:rPr>
      <w:rFonts w:ascii="Calibri" w:hAnsi="Calibri" w:eastAsia="宋体" w:cs="Times New Roman"/>
      <w:kern w:val="0"/>
      <w:sz w:val="24"/>
    </w:rPr>
  </w:style>
  <w:style w:type="paragraph" w:styleId="11">
    <w:name w:val="Title"/>
    <w:basedOn w:val="1"/>
    <w:next w:val="1"/>
    <w:link w:val="29"/>
    <w:qFormat/>
    <w:uiPriority w:val="10"/>
    <w:pPr>
      <w:jc w:val="center"/>
      <w:outlineLvl w:val="0"/>
    </w:pPr>
    <w:rPr>
      <w:rFonts w:eastAsia="宋体" w:asciiTheme="majorHAnsi" w:hAnsiTheme="majorHAnsi" w:cstheme="majorBidi"/>
      <w:b/>
      <w:bCs/>
      <w:sz w:val="44"/>
      <w:szCs w:val="44"/>
    </w:rPr>
  </w:style>
  <w:style w:type="table" w:styleId="13">
    <w:name w:val="Table Grid"/>
    <w:basedOn w:val="12"/>
    <w:qFormat/>
    <w:uiPriority w:val="0"/>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FollowedHyperlink"/>
    <w:basedOn w:val="14"/>
    <w:qFormat/>
    <w:uiPriority w:val="0"/>
    <w:rPr>
      <w:color w:val="954F72" w:themeColor="followedHyperlink"/>
      <w:u w:val="single"/>
      <w14:textFill>
        <w14:solidFill>
          <w14:schemeClr w14:val="folHlink"/>
        </w14:solidFill>
      </w14:textFill>
    </w:rPr>
  </w:style>
  <w:style w:type="character" w:styleId="17">
    <w:name w:val="Emphasis"/>
    <w:basedOn w:val="14"/>
    <w:qFormat/>
    <w:uiPriority w:val="0"/>
    <w:rPr>
      <w:i/>
    </w:rPr>
  </w:style>
  <w:style w:type="character" w:styleId="18">
    <w:name w:val="Hyperlink"/>
    <w:basedOn w:val="14"/>
    <w:qFormat/>
    <w:uiPriority w:val="0"/>
    <w:rPr>
      <w:color w:val="000000"/>
      <w:u w:val="none"/>
    </w:rPr>
  </w:style>
  <w:style w:type="character" w:styleId="19">
    <w:name w:val="footnote reference"/>
    <w:basedOn w:val="14"/>
    <w:qFormat/>
    <w:uiPriority w:val="0"/>
    <w:rPr>
      <w:vertAlign w:val="superscript"/>
    </w:rPr>
  </w:style>
  <w:style w:type="character" w:customStyle="1" w:styleId="20">
    <w:name w:val="页眉 字符"/>
    <w:basedOn w:val="14"/>
    <w:link w:val="8"/>
    <w:qFormat/>
    <w:uiPriority w:val="0"/>
    <w:rPr>
      <w:rFonts w:asciiTheme="minorHAnsi" w:hAnsiTheme="minorHAnsi" w:eastAsiaTheme="minorEastAsia" w:cstheme="minorBidi"/>
      <w:kern w:val="2"/>
      <w:sz w:val="21"/>
      <w:szCs w:val="24"/>
    </w:rPr>
  </w:style>
  <w:style w:type="character" w:customStyle="1" w:styleId="21">
    <w:name w:val="页脚 字符"/>
    <w:basedOn w:val="14"/>
    <w:link w:val="7"/>
    <w:qFormat/>
    <w:uiPriority w:val="99"/>
    <w:rPr>
      <w:rFonts w:asciiTheme="minorHAnsi" w:hAnsiTheme="minorHAnsi" w:eastAsiaTheme="minorEastAsia" w:cstheme="minorBidi"/>
      <w:kern w:val="2"/>
      <w:sz w:val="21"/>
      <w:szCs w:val="24"/>
    </w:rPr>
  </w:style>
  <w:style w:type="paragraph" w:customStyle="1" w:styleId="22">
    <w:name w:val="p2"/>
    <w:basedOn w:val="1"/>
    <w:qFormat/>
    <w:uiPriority w:val="0"/>
    <w:pPr>
      <w:jc w:val="left"/>
    </w:pPr>
    <w:rPr>
      <w:rFonts w:ascii=".applesimplifiedchinesefont" w:hAnsi=".applesimplifiedchinesefont" w:eastAsia=".applesimplifiedchinesefont" w:cs="Times New Roman"/>
      <w:kern w:val="0"/>
      <w:sz w:val="34"/>
      <w:szCs w:val="34"/>
    </w:rPr>
  </w:style>
  <w:style w:type="character" w:customStyle="1" w:styleId="23">
    <w:name w:val="s2"/>
    <w:basedOn w:val="14"/>
    <w:qFormat/>
    <w:uiPriority w:val="0"/>
    <w:rPr>
      <w:rFonts w:ascii=".PingFangSC-Regular" w:hAnsi=".PingFangSC-Regular" w:eastAsia=".PingFangSC-Regular" w:cs=".PingFangSC-Regular"/>
      <w:sz w:val="34"/>
      <w:szCs w:val="34"/>
    </w:rPr>
  </w:style>
  <w:style w:type="character" w:customStyle="1" w:styleId="24">
    <w:name w:val="s3"/>
    <w:basedOn w:val="14"/>
    <w:qFormat/>
    <w:uiPriority w:val="0"/>
    <w:rPr>
      <w:rFonts w:ascii=".SFUI-Regular" w:hAnsi=".SFUI-Regular" w:eastAsia=".SFUI-Regular" w:cs=".SFUI-Regular"/>
      <w:sz w:val="34"/>
      <w:szCs w:val="34"/>
    </w:rPr>
  </w:style>
  <w:style w:type="character" w:customStyle="1" w:styleId="25">
    <w:name w:val="日期 字符"/>
    <w:basedOn w:val="14"/>
    <w:link w:val="6"/>
    <w:qFormat/>
    <w:uiPriority w:val="0"/>
    <w:rPr>
      <w:rFonts w:asciiTheme="minorHAnsi" w:hAnsiTheme="minorHAnsi" w:eastAsiaTheme="minorEastAsia" w:cstheme="minorBidi"/>
      <w:kern w:val="2"/>
      <w:sz w:val="21"/>
      <w:szCs w:val="24"/>
    </w:rPr>
  </w:style>
  <w:style w:type="character" w:customStyle="1" w:styleId="26">
    <w:name w:val="称呼 字符"/>
    <w:basedOn w:val="14"/>
    <w:link w:val="3"/>
    <w:qFormat/>
    <w:uiPriority w:val="0"/>
    <w:rPr>
      <w:rFonts w:ascii="宋体" w:hAnsi="宋体" w:eastAsiaTheme="minorEastAsia" w:cstheme="minorBidi"/>
      <w:kern w:val="2"/>
      <w:sz w:val="24"/>
      <w:szCs w:val="24"/>
    </w:rPr>
  </w:style>
  <w:style w:type="character" w:customStyle="1" w:styleId="27">
    <w:name w:val="结束语 字符"/>
    <w:basedOn w:val="14"/>
    <w:link w:val="4"/>
    <w:qFormat/>
    <w:uiPriority w:val="0"/>
    <w:rPr>
      <w:rFonts w:ascii="宋体" w:hAnsi="宋体" w:eastAsiaTheme="minorEastAsia" w:cstheme="minorBidi"/>
      <w:kern w:val="2"/>
      <w:sz w:val="24"/>
      <w:szCs w:val="24"/>
    </w:rPr>
  </w:style>
  <w:style w:type="character" w:customStyle="1" w:styleId="28">
    <w:name w:val="标题 2 字符"/>
    <w:basedOn w:val="14"/>
    <w:link w:val="2"/>
    <w:qFormat/>
    <w:uiPriority w:val="0"/>
    <w:rPr>
      <w:rFonts w:ascii="宋体" w:hAnsi="宋体"/>
      <w:b/>
      <w:sz w:val="36"/>
      <w:szCs w:val="36"/>
    </w:rPr>
  </w:style>
  <w:style w:type="character" w:customStyle="1" w:styleId="29">
    <w:name w:val="标题 字符"/>
    <w:basedOn w:val="14"/>
    <w:link w:val="11"/>
    <w:qFormat/>
    <w:uiPriority w:val="10"/>
    <w:rPr>
      <w:rFonts w:asciiTheme="majorHAnsi" w:hAnsiTheme="majorHAnsi" w:cstheme="majorBidi"/>
      <w:b/>
      <w:bCs/>
      <w:kern w:val="2"/>
      <w:sz w:val="44"/>
      <w:szCs w:val="44"/>
    </w:rPr>
  </w:style>
  <w:style w:type="character" w:customStyle="1" w:styleId="30">
    <w:name w:val="正文文本 字符"/>
    <w:basedOn w:val="14"/>
    <w:link w:val="5"/>
    <w:qFormat/>
    <w:uiPriority w:val="0"/>
    <w:rPr>
      <w:rFonts w:asciiTheme="minorHAnsi" w:hAnsiTheme="minorHAnsi" w:eastAsiaTheme="minorHAnsi" w:cstheme="minorBidi"/>
      <w:sz w:val="24"/>
      <w:szCs w:val="24"/>
      <w:lang w:eastAsia="en-US"/>
    </w:rPr>
  </w:style>
  <w:style w:type="paragraph" w:customStyle="1" w:styleId="31">
    <w:name w:val="First Paragraph"/>
    <w:basedOn w:val="5"/>
    <w:next w:val="5"/>
    <w:qFormat/>
    <w:uiPriority w:val="0"/>
  </w:style>
  <w:style w:type="table" w:customStyle="1" w:styleId="32">
    <w:name w:val="Table"/>
    <w:unhideWhenUsed/>
    <w:qFormat/>
    <w:uiPriority w:val="0"/>
    <w:rPr>
      <w:rFonts w:asciiTheme="minorHAnsi" w:hAnsiTheme="minorHAnsi" w:eastAsiaTheme="minorEastAsia" w:cstheme="minorBidi"/>
    </w:rPr>
    <w:tblPr>
      <w:tblCellMar>
        <w:top w:w="0" w:type="dxa"/>
        <w:left w:w="108" w:type="dxa"/>
        <w:bottom w:w="0" w:type="dxa"/>
        <w:right w:w="108" w:type="dxa"/>
      </w:tblCellMar>
    </w:tblPr>
  </w:style>
  <w:style w:type="paragraph" w:customStyle="1" w:styleId="33">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4">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35">
    <w:name w:val="修订3"/>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6">
    <w:name w:val="脚注文本 字符"/>
    <w:basedOn w:val="14"/>
    <w:link w:val="9"/>
    <w:qFormat/>
    <w:uiPriority w:val="0"/>
    <w:rPr>
      <w:rFonts w:asciiTheme="minorHAnsi" w:hAnsiTheme="minorHAnsi" w:eastAsiaTheme="minorEastAsia" w:cstheme="minorBidi"/>
      <w:kern w:val="2"/>
      <w:sz w:val="18"/>
      <w:szCs w:val="18"/>
    </w:rPr>
  </w:style>
  <w:style w:type="paragraph" w:styleId="3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23C499-7DE5-F540-A5B6-6FB0897F56A8}">
  <ds:schemaRefs/>
</ds:datastoreItem>
</file>

<file path=docProps/app.xml><?xml version="1.0" encoding="utf-8"?>
<Properties xmlns="http://schemas.openxmlformats.org/officeDocument/2006/extended-properties" xmlns:vt="http://schemas.openxmlformats.org/officeDocument/2006/docPropsVTypes">
  <Template>Normal.dotm</Template>
  <Company>国浩</Company>
  <Pages>7</Pages>
  <Words>431</Words>
  <Characters>504</Characters>
  <Lines>76</Lines>
  <Paragraphs>58</Paragraphs>
  <TotalTime>37</TotalTime>
  <ScaleCrop>false</ScaleCrop>
  <LinksUpToDate>false</LinksUpToDate>
  <CharactersWithSpaces>515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2026-09-23T22:24:00Z</dcterms:created>
  <dc:creator>邮箱：dengchengjun@grandall.com.cn；邮编：550081；                 地址：贵州省贵阳市观山湖区贵州金融城MAX.C座20楼。</dc:creator>
  <cp:lastModifiedBy>陈旭琳18984843997</cp:lastModifiedBy>
  <cp:lastPrinted>2021-05-20T00:42:00Z</cp:lastPrinted>
  <dcterms:modified xsi:type="dcterms:W3CDTF">2026-09-24T07:29:17Z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BBAAA9C014A4F9056CA2B46AD940EB12_43</vt:lpwstr>
  </property>
  <property fmtid="{D5CDD505-2E9C-101B-9397-08002B2CF9AE}" pid="4" name="KSOTemplateDocerSaveRecord">
    <vt:lpwstr>eyJoZGlkIjoiNjdmMmEyMDI4ZDczMmZjOGM0MmI4ZDAxYzA1YjU3MGQiLCJ1c2VySWQiOiIyNjk0OTUzNiJ9</vt:lpwstr>
  </property>
</Properties>
</file>