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68AEC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" w:after="157" w:afterLines="50" w:line="224" w:lineRule="auto"/>
        <w:jc w:val="center"/>
        <w:textAlignment w:val="baseline"/>
        <w:outlineLvl w:val="0"/>
        <w:rPr>
          <w:rFonts w:ascii="FangSong" w:hAnsi="FangSong" w:eastAsia="FangSong" w:cs="FangSong"/>
          <w:snapToGrid w:val="0"/>
          <w:color w:val="000000"/>
          <w:kern w:val="0"/>
          <w:sz w:val="40"/>
          <w:szCs w:val="40"/>
          <w:lang w:val="en-US" w:eastAsia="en-US" w:bidi="ar-SA"/>
        </w:rPr>
      </w:pPr>
      <w:r>
        <w:rPr>
          <w:rFonts w:hint="eastAsia" w:ascii="FangSong" w:hAnsi="FangSong" w:eastAsia="FangSong" w:cs="FangSong"/>
          <w:b/>
          <w:bCs/>
          <w:snapToGrid w:val="0"/>
          <w:color w:val="000000"/>
          <w:spacing w:val="-5"/>
          <w:kern w:val="0"/>
          <w:sz w:val="40"/>
          <w:szCs w:val="40"/>
          <w:lang w:val="en-US" w:eastAsia="zh-CN" w:bidi="ar-SA"/>
        </w:rPr>
        <w:t>湖南省恒力置业发展有限公司</w:t>
      </w:r>
      <w:r>
        <w:rPr>
          <w:rFonts w:ascii="FangSong" w:hAnsi="FangSong" w:eastAsia="FangSong" w:cs="FangSong"/>
          <w:b/>
          <w:bCs/>
          <w:snapToGrid w:val="0"/>
          <w:color w:val="000000"/>
          <w:spacing w:val="-5"/>
          <w:kern w:val="0"/>
          <w:sz w:val="40"/>
          <w:szCs w:val="40"/>
          <w:lang w:val="en-US" w:eastAsia="en-US" w:bidi="ar-SA"/>
        </w:rPr>
        <w:t>破产清算案</w:t>
      </w:r>
    </w:p>
    <w:p w14:paraId="1A0DF1CC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" w:after="157" w:afterLines="50" w:line="224" w:lineRule="auto"/>
        <w:jc w:val="center"/>
        <w:textAlignment w:val="baseline"/>
        <w:outlineLvl w:val="0"/>
        <w:rPr>
          <w:rFonts w:hint="eastAsia" w:ascii="FangSong" w:hAnsi="FangSong" w:eastAsia="FangSong" w:cs="FangSong"/>
          <w:b/>
          <w:bCs/>
          <w:snapToGrid w:val="0"/>
          <w:color w:val="000000"/>
          <w:spacing w:val="-5"/>
          <w:kern w:val="0"/>
          <w:sz w:val="40"/>
          <w:szCs w:val="40"/>
          <w:lang w:val="en-US" w:eastAsia="zh-CN" w:bidi="ar-SA"/>
        </w:rPr>
      </w:pPr>
      <w:r>
        <w:rPr>
          <w:rFonts w:hint="eastAsia" w:ascii="FangSong" w:hAnsi="FangSong" w:eastAsia="FangSong" w:cs="FangSong"/>
          <w:b/>
          <w:bCs/>
          <w:snapToGrid w:val="0"/>
          <w:color w:val="000000"/>
          <w:spacing w:val="-5"/>
          <w:kern w:val="0"/>
          <w:sz w:val="40"/>
          <w:szCs w:val="40"/>
          <w:lang w:val="en-US" w:eastAsia="zh-CN" w:bidi="ar-SA"/>
        </w:rPr>
        <w:t>表决票</w:t>
      </w:r>
    </w:p>
    <w:p w14:paraId="41A763C2">
      <w:pPr>
        <w:spacing w:line="360" w:lineRule="auto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en-US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en-US"/>
        </w:rPr>
        <w:t>为维护债权人的合法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权益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en-US"/>
        </w:rPr>
        <w:t>，根据《中华人民共和国企业破产法》及相关法律法规之规定，现就下述事项填写表决票。</w:t>
      </w:r>
    </w:p>
    <w:tbl>
      <w:tblPr>
        <w:tblStyle w:val="4"/>
        <w:tblW w:w="9161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35"/>
        <w:gridCol w:w="1326"/>
        <w:gridCol w:w="1561"/>
        <w:gridCol w:w="2639"/>
      </w:tblGrid>
      <w:tr w14:paraId="1AE3A1F8">
        <w:trPr>
          <w:trHeight w:val="962" w:hRule="atLeast"/>
          <w:jc w:val="center"/>
        </w:trPr>
        <w:tc>
          <w:tcPr>
            <w:tcW w:w="3635" w:type="dxa"/>
            <w:vAlign w:val="top"/>
          </w:tcPr>
          <w:p w14:paraId="5721CF74">
            <w:pPr>
              <w:kinsoku w:val="0"/>
              <w:autoSpaceDE w:val="0"/>
              <w:autoSpaceDN w:val="0"/>
              <w:adjustRightInd w:val="0"/>
              <w:snapToGrid w:val="0"/>
              <w:spacing w:line="34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7251438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8" w:line="223" w:lineRule="auto"/>
              <w:ind w:left="1974"/>
              <w:jc w:val="left"/>
              <w:textAlignment w:val="baseline"/>
              <w:rPr>
                <w:rFonts w:ascii="FangSong" w:hAnsi="FangSong" w:eastAsia="FangSong" w:cs="FangSong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FangSong" w:hAnsi="FangSong" w:eastAsia="FangSong" w:cs="FangSong"/>
                <w:b/>
                <w:bCs/>
                <w:snapToGrid w:val="0"/>
                <w:color w:val="000000"/>
                <w:spacing w:val="-7"/>
                <w:kern w:val="0"/>
                <w:sz w:val="24"/>
                <w:szCs w:val="24"/>
                <w:lang w:eastAsia="en-US"/>
              </w:rPr>
              <w:t>表决事项</w:t>
            </w:r>
          </w:p>
        </w:tc>
        <w:tc>
          <w:tcPr>
            <w:tcW w:w="2887" w:type="dxa"/>
            <w:gridSpan w:val="2"/>
            <w:vAlign w:val="top"/>
          </w:tcPr>
          <w:p w14:paraId="75C700C1">
            <w:pPr>
              <w:kinsoku w:val="0"/>
              <w:autoSpaceDE w:val="0"/>
              <w:autoSpaceDN w:val="0"/>
              <w:adjustRightInd w:val="0"/>
              <w:snapToGrid w:val="0"/>
              <w:spacing w:line="34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2E99FB2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8" w:line="222" w:lineRule="auto"/>
              <w:ind w:left="666"/>
              <w:jc w:val="left"/>
              <w:textAlignment w:val="baseline"/>
              <w:rPr>
                <w:rFonts w:ascii="FangSong" w:hAnsi="FangSong" w:eastAsia="FangSong" w:cs="FangSong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FangSong" w:hAnsi="FangSong" w:eastAsia="FangSong" w:cs="FangSong"/>
                <w:b/>
                <w:bCs/>
                <w:snapToGrid w:val="0"/>
                <w:color w:val="000000"/>
                <w:spacing w:val="-7"/>
                <w:kern w:val="0"/>
                <w:sz w:val="24"/>
                <w:szCs w:val="24"/>
                <w:lang w:eastAsia="en-US"/>
              </w:rPr>
              <w:t>表决结果</w:t>
            </w:r>
          </w:p>
        </w:tc>
        <w:tc>
          <w:tcPr>
            <w:tcW w:w="2639" w:type="dxa"/>
            <w:vAlign w:val="top"/>
          </w:tcPr>
          <w:p w14:paraId="40FFCC16">
            <w:pPr>
              <w:kinsoku w:val="0"/>
              <w:autoSpaceDE w:val="0"/>
              <w:autoSpaceDN w:val="0"/>
              <w:adjustRightInd w:val="0"/>
              <w:snapToGrid w:val="0"/>
              <w:spacing w:line="34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4F83DBB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8" w:line="222" w:lineRule="auto"/>
              <w:ind w:left="1225"/>
              <w:jc w:val="left"/>
              <w:textAlignment w:val="baseline"/>
              <w:rPr>
                <w:rFonts w:ascii="FangSong" w:hAnsi="FangSong" w:eastAsia="FangSong" w:cs="FangSong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FangSong" w:hAnsi="FangSong" w:eastAsia="FangSong" w:cs="FangSong"/>
                <w:b/>
                <w:bCs/>
                <w:snapToGrid w:val="0"/>
                <w:color w:val="000000"/>
                <w:spacing w:val="-7"/>
                <w:kern w:val="0"/>
                <w:sz w:val="24"/>
                <w:szCs w:val="24"/>
                <w:lang w:eastAsia="en-US"/>
              </w:rPr>
              <w:t>异议事项</w:t>
            </w:r>
          </w:p>
        </w:tc>
      </w:tr>
      <w:tr w14:paraId="2063BF09">
        <w:trPr>
          <w:trHeight w:val="958" w:hRule="atLeast"/>
          <w:jc w:val="center"/>
        </w:trPr>
        <w:tc>
          <w:tcPr>
            <w:tcW w:w="3635" w:type="dxa"/>
            <w:vAlign w:val="top"/>
          </w:tcPr>
          <w:p w14:paraId="1506132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8" w:line="360" w:lineRule="auto"/>
              <w:ind w:left="171"/>
              <w:jc w:val="left"/>
              <w:textAlignment w:val="baseline"/>
              <w:rPr>
                <w:rFonts w:ascii="FangSong" w:hAnsi="FangSong" w:eastAsia="FangSong" w:cs="FangSong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FangSong" w:hAnsi="FangSong" w:eastAsia="FangSong" w:cs="FangSong"/>
                <w:snapToGrid w:val="0"/>
                <w:color w:val="000000"/>
                <w:spacing w:val="-2"/>
                <w:kern w:val="0"/>
                <w:sz w:val="24"/>
                <w:szCs w:val="24"/>
                <w:highlight w:val="none"/>
                <w:lang w:val="en-US" w:eastAsia="zh-CN" w:bidi="ar-SA"/>
              </w:rPr>
              <w:t>是否同意</w:t>
            </w:r>
            <w:r>
              <w:rPr>
                <w:rFonts w:hint="eastAsia" w:ascii="FangSong" w:hAnsi="FangSong" w:eastAsia="FangSong" w:cs="FangSong"/>
                <w:snapToGrid w:val="0"/>
                <w:color w:val="000000"/>
                <w:spacing w:val="-2"/>
                <w:kern w:val="0"/>
                <w:sz w:val="24"/>
                <w:szCs w:val="24"/>
                <w:highlight w:val="none"/>
                <w:lang w:val="en-US" w:eastAsia="en-US" w:bidi="ar-SA"/>
              </w:rPr>
              <w:t>以2,007,040元起拍价对恒力公司持有的富通公司89.58%股权重新挂拍</w:t>
            </w:r>
          </w:p>
        </w:tc>
        <w:tc>
          <w:tcPr>
            <w:tcW w:w="1326" w:type="dxa"/>
            <w:vAlign w:val="top"/>
          </w:tcPr>
          <w:p w14:paraId="7FC5E687">
            <w:pPr>
              <w:kinsoku w:val="0"/>
              <w:autoSpaceDE w:val="0"/>
              <w:autoSpaceDN w:val="0"/>
              <w:adjustRightInd w:val="0"/>
              <w:snapToGrid w:val="0"/>
              <w:spacing w:line="308" w:lineRule="auto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0076605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9" w:line="199" w:lineRule="auto"/>
              <w:ind w:left="176"/>
              <w:jc w:val="center"/>
              <w:textAlignment w:val="baseline"/>
              <w:rPr>
                <w:rFonts w:ascii="FangSong" w:hAnsi="FangSong" w:eastAsia="FangSong" w:cs="FangSong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ascii="PingFang SC" w:hAnsi="PingFang SC" w:eastAsia="PingFang SC" w:cs="PingFang SC"/>
                <w:snapToGrid w:val="0"/>
                <w:color w:val="000000"/>
                <w:spacing w:val="-31"/>
                <w:kern w:val="0"/>
                <w:sz w:val="24"/>
                <w:szCs w:val="24"/>
                <w:lang w:eastAsia="en-US"/>
              </w:rPr>
              <w:t>□</w:t>
            </w:r>
            <w:r>
              <w:rPr>
                <w:rFonts w:ascii="PingFang SC" w:hAnsi="PingFang SC" w:eastAsia="PingFang SC" w:cs="PingFang SC"/>
                <w:snapToGrid w:val="0"/>
                <w:color w:val="000000"/>
                <w:spacing w:val="2"/>
                <w:kern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FangSong" w:hAnsi="FangSong" w:eastAsia="FangSong" w:cs="FangSong"/>
                <w:snapToGrid w:val="0"/>
                <w:color w:val="000000"/>
                <w:spacing w:val="-31"/>
                <w:kern w:val="0"/>
                <w:sz w:val="24"/>
                <w:szCs w:val="24"/>
                <w:lang w:eastAsia="en-US"/>
              </w:rPr>
              <w:t>同意</w:t>
            </w:r>
          </w:p>
        </w:tc>
        <w:tc>
          <w:tcPr>
            <w:tcW w:w="1561" w:type="dxa"/>
            <w:vAlign w:val="top"/>
          </w:tcPr>
          <w:p w14:paraId="2456C0FE">
            <w:pPr>
              <w:kinsoku w:val="0"/>
              <w:autoSpaceDE w:val="0"/>
              <w:autoSpaceDN w:val="0"/>
              <w:adjustRightInd w:val="0"/>
              <w:snapToGrid w:val="0"/>
              <w:spacing w:line="307" w:lineRule="auto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19888AA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9" w:line="199" w:lineRule="auto"/>
              <w:ind w:left="176"/>
              <w:jc w:val="center"/>
              <w:textAlignment w:val="baseline"/>
              <w:rPr>
                <w:rFonts w:ascii="FangSong" w:hAnsi="FangSong" w:eastAsia="FangSong" w:cs="FangSong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PingFang SC" w:hAnsi="PingFang SC" w:eastAsia="PingFang SC" w:cs="PingFang SC"/>
                <w:snapToGrid w:val="0"/>
                <w:color w:val="000000"/>
                <w:spacing w:val="-22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PingFang SC" w:hAnsi="PingFang SC" w:eastAsia="PingFang SC" w:cs="PingFang SC"/>
                <w:snapToGrid w:val="0"/>
                <w:color w:val="000000"/>
                <w:spacing w:val="-22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FangSong" w:hAnsi="FangSong" w:eastAsia="FangSong" w:cs="FangSong"/>
                <w:snapToGrid w:val="0"/>
                <w:color w:val="000000"/>
                <w:spacing w:val="-22"/>
                <w:kern w:val="0"/>
                <w:sz w:val="24"/>
                <w:szCs w:val="24"/>
                <w:lang w:eastAsia="en-US"/>
              </w:rPr>
              <w:t>反对</w:t>
            </w:r>
          </w:p>
        </w:tc>
        <w:tc>
          <w:tcPr>
            <w:tcW w:w="2639" w:type="dxa"/>
            <w:vAlign w:val="top"/>
          </w:tcPr>
          <w:p w14:paraId="7A2CAA8D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</w:tc>
      </w:tr>
    </w:tbl>
    <w:p w14:paraId="3ACD37A9">
      <w:pPr>
        <w:widowControl/>
        <w:kinsoku w:val="0"/>
        <w:autoSpaceDE w:val="0"/>
        <w:autoSpaceDN w:val="0"/>
        <w:adjustRightInd w:val="0"/>
        <w:snapToGrid w:val="0"/>
        <w:spacing w:line="431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10465689">
      <w:pPr>
        <w:kinsoku w:val="0"/>
        <w:autoSpaceDE w:val="0"/>
        <w:autoSpaceDN w:val="0"/>
        <w:adjustRightInd w:val="0"/>
        <w:snapToGrid w:val="0"/>
        <w:spacing w:before="91" w:line="222" w:lineRule="auto"/>
        <w:ind w:firstLine="4096" w:firstLineChars="1500"/>
        <w:jc w:val="left"/>
        <w:textAlignment w:val="baseline"/>
        <w:rPr>
          <w:rFonts w:ascii="FangSong" w:hAnsi="FangSong" w:eastAsia="FangSong" w:cs="FangSong"/>
          <w:snapToGrid w:val="0"/>
          <w:color w:val="000000"/>
          <w:kern w:val="0"/>
          <w:sz w:val="28"/>
          <w:szCs w:val="28"/>
          <w:lang w:val="en-US" w:eastAsia="en-US" w:bidi="ar-SA"/>
        </w:rPr>
      </w:pPr>
      <w:r>
        <w:rPr>
          <w:rFonts w:ascii="FangSong" w:hAnsi="FangSong" w:eastAsia="FangSong" w:cs="FangSong"/>
          <w:b/>
          <w:bCs/>
          <w:snapToGrid w:val="0"/>
          <w:color w:val="000000"/>
          <w:spacing w:val="-4"/>
          <w:kern w:val="0"/>
          <w:sz w:val="28"/>
          <w:szCs w:val="28"/>
          <w:lang w:val="en-US" w:eastAsia="en-US" w:bidi="ar-SA"/>
        </w:rPr>
        <w:t>债权人/代理人（签字/盖章</w:t>
      </w:r>
      <w:r>
        <w:rPr>
          <w:rFonts w:ascii="FangSong" w:hAnsi="FangSong" w:eastAsia="FangSong" w:cs="FangSong"/>
          <w:b/>
          <w:bCs/>
          <w:snapToGrid w:val="0"/>
          <w:color w:val="000000"/>
          <w:spacing w:val="-1"/>
          <w:kern w:val="0"/>
          <w:sz w:val="28"/>
          <w:szCs w:val="28"/>
          <w:lang w:val="en-US" w:eastAsia="en-US" w:bidi="ar-SA"/>
        </w:rPr>
        <w:t>）：</w:t>
      </w:r>
    </w:p>
    <w:p w14:paraId="3DBCB5CB">
      <w:pPr>
        <w:kinsoku w:val="0"/>
        <w:autoSpaceDE w:val="0"/>
        <w:autoSpaceDN w:val="0"/>
        <w:adjustRightInd w:val="0"/>
        <w:snapToGrid w:val="0"/>
        <w:spacing w:before="224" w:line="223" w:lineRule="auto"/>
        <w:ind w:firstLine="4782" w:firstLineChars="2000"/>
        <w:jc w:val="left"/>
        <w:textAlignment w:val="baseline"/>
        <w:rPr>
          <w:rFonts w:ascii="FangSong" w:hAnsi="FangSong" w:eastAsia="FangSong" w:cs="FangSong"/>
          <w:snapToGrid w:val="0"/>
          <w:color w:val="000000"/>
          <w:kern w:val="0"/>
          <w:sz w:val="28"/>
          <w:szCs w:val="28"/>
          <w:lang w:val="en-US" w:eastAsia="en-US" w:bidi="ar-SA"/>
        </w:rPr>
      </w:pPr>
      <w:r>
        <w:rPr>
          <w:rFonts w:ascii="FangSong" w:hAnsi="FangSong" w:eastAsia="FangSong" w:cs="FangSong"/>
          <w:b/>
          <w:bCs/>
          <w:snapToGrid w:val="0"/>
          <w:color w:val="000000"/>
          <w:spacing w:val="-21"/>
          <w:kern w:val="0"/>
          <w:sz w:val="28"/>
          <w:szCs w:val="28"/>
          <w:lang w:val="en-US" w:eastAsia="en-US" w:bidi="ar-SA"/>
        </w:rPr>
        <w:t>年</w:t>
      </w:r>
      <w:r>
        <w:rPr>
          <w:rFonts w:ascii="FangSong" w:hAnsi="FangSong" w:eastAsia="FangSong" w:cs="FangSong"/>
          <w:snapToGrid w:val="0"/>
          <w:color w:val="000000"/>
          <w:spacing w:val="11"/>
          <w:kern w:val="0"/>
          <w:sz w:val="28"/>
          <w:szCs w:val="28"/>
          <w:lang w:val="en-US" w:eastAsia="en-US" w:bidi="ar-SA"/>
        </w:rPr>
        <w:t xml:space="preserve">   </w:t>
      </w:r>
      <w:r>
        <w:rPr>
          <w:rFonts w:ascii="FangSong" w:hAnsi="FangSong" w:eastAsia="FangSong" w:cs="FangSong"/>
          <w:b/>
          <w:bCs/>
          <w:snapToGrid w:val="0"/>
          <w:color w:val="000000"/>
          <w:spacing w:val="-21"/>
          <w:kern w:val="0"/>
          <w:sz w:val="28"/>
          <w:szCs w:val="28"/>
          <w:lang w:val="en-US" w:eastAsia="en-US" w:bidi="ar-SA"/>
        </w:rPr>
        <w:t>月</w:t>
      </w:r>
      <w:r>
        <w:rPr>
          <w:rFonts w:ascii="FangSong" w:hAnsi="FangSong" w:eastAsia="FangSong" w:cs="FangSong"/>
          <w:snapToGrid w:val="0"/>
          <w:color w:val="000000"/>
          <w:spacing w:val="26"/>
          <w:kern w:val="0"/>
          <w:sz w:val="28"/>
          <w:szCs w:val="28"/>
          <w:lang w:val="en-US" w:eastAsia="en-US" w:bidi="ar-SA"/>
        </w:rPr>
        <w:t xml:space="preserve">  </w:t>
      </w:r>
      <w:r>
        <w:rPr>
          <w:rFonts w:ascii="FangSong" w:hAnsi="FangSong" w:eastAsia="FangSong" w:cs="FangSong"/>
          <w:b/>
          <w:bCs/>
          <w:snapToGrid w:val="0"/>
          <w:color w:val="000000"/>
          <w:spacing w:val="-21"/>
          <w:kern w:val="0"/>
          <w:sz w:val="28"/>
          <w:szCs w:val="28"/>
          <w:lang w:val="en-US" w:eastAsia="en-US" w:bidi="ar-SA"/>
        </w:rPr>
        <w:t>日</w:t>
      </w:r>
    </w:p>
    <w:p w14:paraId="71873F49">
      <w:pPr>
        <w:widowControl/>
        <w:kinsoku w:val="0"/>
        <w:autoSpaceDE w:val="0"/>
        <w:autoSpaceDN w:val="0"/>
        <w:adjustRightInd w:val="0"/>
        <w:snapToGrid w:val="0"/>
        <w:spacing w:line="327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724554B4">
      <w:pPr>
        <w:widowControl/>
        <w:kinsoku w:val="0"/>
        <w:autoSpaceDE w:val="0"/>
        <w:autoSpaceDN w:val="0"/>
        <w:adjustRightInd w:val="0"/>
        <w:snapToGrid w:val="0"/>
        <w:spacing w:line="327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49F59968">
      <w:pPr>
        <w:kinsoku w:val="0"/>
        <w:autoSpaceDE w:val="0"/>
        <w:autoSpaceDN w:val="0"/>
        <w:adjustRightInd w:val="0"/>
        <w:snapToGrid w:val="0"/>
        <w:spacing w:before="78" w:line="220" w:lineRule="auto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1.本表决票请采用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2"/>
          <w:kern w:val="0"/>
          <w:sz w:val="24"/>
          <w:szCs w:val="24"/>
          <w:u w:val="single" w:color="auto"/>
          <w:lang w:val="en-US" w:eastAsia="en-US" w:bidi="ar-SA"/>
        </w:rPr>
        <w:t>手写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形式。</w:t>
      </w:r>
    </w:p>
    <w:p w14:paraId="42B17E53">
      <w:pPr>
        <w:kinsoku w:val="0"/>
        <w:autoSpaceDE w:val="0"/>
        <w:autoSpaceDN w:val="0"/>
        <w:adjustRightInd w:val="0"/>
        <w:snapToGrid w:val="0"/>
        <w:spacing w:before="175" w:line="219" w:lineRule="auto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-7"/>
          <w:kern w:val="0"/>
          <w:sz w:val="24"/>
          <w:szCs w:val="24"/>
          <w:lang w:val="en-US" w:eastAsia="en-US" w:bidi="ar-SA"/>
        </w:rPr>
        <w:t>2.“表决结果”一栏：须在意向选项前框内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7"/>
          <w:kern w:val="0"/>
          <w:sz w:val="24"/>
          <w:szCs w:val="24"/>
          <w:u w:val="single" w:color="auto"/>
          <w:lang w:val="en-US" w:eastAsia="en-US" w:bidi="ar-SA"/>
        </w:rPr>
        <w:t>择一勾选 (√)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7"/>
          <w:kern w:val="0"/>
          <w:sz w:val="24"/>
          <w:szCs w:val="24"/>
          <w:lang w:val="en-US" w:eastAsia="en-US" w:bidi="ar-SA"/>
        </w:rPr>
        <w:t>。</w:t>
      </w:r>
    </w:p>
    <w:p w14:paraId="6F1D392F">
      <w:pPr>
        <w:kinsoku w:val="0"/>
        <w:autoSpaceDE w:val="0"/>
        <w:autoSpaceDN w:val="0"/>
        <w:adjustRightInd w:val="0"/>
        <w:snapToGrid w:val="0"/>
        <w:spacing w:before="176" w:line="221" w:lineRule="auto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3.“异议事项”一栏：有异议的，须详细载明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意见；无异议的，无需填写。</w:t>
      </w:r>
    </w:p>
    <w:p w14:paraId="2BFE4927">
      <w:pPr>
        <w:kinsoku w:val="0"/>
        <w:autoSpaceDE w:val="0"/>
        <w:autoSpaceDN w:val="0"/>
        <w:adjustRightInd w:val="0"/>
        <w:snapToGrid w:val="0"/>
        <w:spacing w:before="171" w:line="220" w:lineRule="auto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4.请债权人或代理人填写并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4"/>
          <w:szCs w:val="24"/>
          <w:u w:val="single" w:color="auto"/>
          <w:lang w:val="en-US" w:eastAsia="en-US" w:bidi="ar-SA"/>
        </w:rPr>
        <w:t>签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4"/>
          <w:szCs w:val="24"/>
          <w:u w:val="single" w:color="auto"/>
          <w:lang w:val="en-US" w:eastAsia="zh-CN" w:bidi="ar-SA"/>
        </w:rPr>
        <w:t>字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4"/>
          <w:szCs w:val="24"/>
          <w:u w:val="single" w:color="auto"/>
          <w:lang w:val="en-US" w:eastAsia="en-US" w:bidi="ar-SA"/>
        </w:rPr>
        <w:t>/盖章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，填写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4"/>
          <w:szCs w:val="24"/>
          <w:u w:val="single" w:color="auto"/>
          <w:lang w:val="en-US" w:eastAsia="en-US" w:bidi="ar-SA"/>
        </w:rPr>
        <w:t>时间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4"/>
          <w:szCs w:val="24"/>
          <w:u w:val="single" w:color="auto"/>
          <w:lang w:val="en-US" w:eastAsia="zh-CN" w:bidi="ar-SA"/>
        </w:rPr>
        <w:t>。</w:t>
      </w:r>
    </w:p>
    <w:p w14:paraId="7321636F">
      <w:pPr>
        <w:kinsoku w:val="0"/>
        <w:autoSpaceDE w:val="0"/>
        <w:autoSpaceDN w:val="0"/>
        <w:adjustRightInd w:val="0"/>
        <w:snapToGrid w:val="0"/>
        <w:spacing w:before="173" w:line="354" w:lineRule="auto"/>
        <w:ind w:right="744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5.请于</w:t>
      </w:r>
      <w:bookmarkStart w:id="0" w:name="_GoBack"/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4"/>
          <w:szCs w:val="24"/>
          <w:highlight w:val="none"/>
          <w:u w:val="single" w:color="auto"/>
          <w:lang w:val="en-US" w:eastAsia="zh-CN" w:bidi="ar-SA"/>
        </w:rPr>
        <w:t>2026年10月30日前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4"/>
          <w:szCs w:val="24"/>
          <w:highlight w:val="none"/>
          <w:lang w:val="en-US" w:eastAsia="en-US" w:bidi="ar-SA"/>
        </w:rPr>
        <w:t>将</w:t>
      </w:r>
      <w:bookmarkEnd w:id="0"/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本表决票送达管理人处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联系地址：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长沙市雨花区车站南路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48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219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2"/>
          <w:kern w:val="0"/>
          <w:sz w:val="24"/>
          <w:szCs w:val="24"/>
          <w:lang w:val="en-US" w:eastAsia="zh-CN" w:bidi="ar-SA"/>
        </w:rPr>
        <w:t>-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4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39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号，联系电话：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刘律师177 8891 7316，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2"/>
          <w:kern w:val="0"/>
          <w:sz w:val="24"/>
          <w:szCs w:val="24"/>
          <w:lang w:val="en-US" w:eastAsia="en-US" w:bidi="ar-SA"/>
        </w:rPr>
        <w:t>微信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同号。</w:t>
      </w:r>
    </w:p>
    <w:p w14:paraId="785CF0B8">
      <w:pPr>
        <w:kinsoku w:val="0"/>
        <w:autoSpaceDE w:val="0"/>
        <w:autoSpaceDN w:val="0"/>
        <w:adjustRightInd w:val="0"/>
        <w:snapToGrid w:val="0"/>
        <w:spacing w:before="1" w:line="356" w:lineRule="auto"/>
        <w:ind w:right="733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5"/>
          <w:kern w:val="0"/>
          <w:sz w:val="24"/>
          <w:szCs w:val="24"/>
          <w:lang w:val="en-US" w:eastAsia="en-US" w:bidi="ar-SA"/>
        </w:rPr>
        <w:t>6.逾期未提交本表决票，表决票填写不符合上述规范或填写内容无法辨认或理解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的，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spacing w:val="-1"/>
          <w:kern w:val="0"/>
          <w:sz w:val="24"/>
          <w:szCs w:val="24"/>
          <w:u w:val="single" w:color="auto"/>
          <w:lang w:val="en-US" w:eastAsia="en-US" w:bidi="ar-SA"/>
        </w:rPr>
        <w:t>视为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/>
          <w:spacing w:val="-1"/>
          <w:kern w:val="0"/>
          <w:sz w:val="24"/>
          <w:szCs w:val="24"/>
          <w:u w:val="single" w:color="auto"/>
          <w:lang w:val="en-US" w:eastAsia="zh-CN" w:bidi="ar-SA"/>
        </w:rPr>
        <w:t>同意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4"/>
          <w:szCs w:val="24"/>
          <w:u w:val="single" w:color="auto"/>
          <w:lang w:val="en-US" w:eastAsia="en-US" w:bidi="ar-SA"/>
        </w:rPr>
        <w:t>。</w:t>
      </w:r>
    </w:p>
    <w:p w14:paraId="40DBB847">
      <w:pPr>
        <w:rPr>
          <w:rFonts w:hint="eastAsia" w:ascii="仿宋_GB2312" w:hAnsi="仿宋_GB2312" w:eastAsia="仿宋_GB2312" w:cs="仿宋_GB2312"/>
        </w:rPr>
      </w:pPr>
    </w:p>
    <w:p w14:paraId="54B441D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70306050509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FDE597"/>
    <w:rsid w:val="1FFDE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2026-10-23T14:58:00Z</dcterms:created>
  <dc:creator>刘欢</dc:creator>
  <cp:lastModifiedBy>刘欢</cp:lastModifiedBy>
  <dcterms:modified xsi:type="dcterms:W3CDTF">2026-10-23T14:59:07Z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A299C71BA4C5B4B5A105DB6A12F64199_41</vt:lpwstr>
  </property>
</Properties>
</file>